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21B4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sz w:val="44"/>
          <w:szCs w:val="44"/>
          <w:lang w:eastAsia="zh-CN"/>
        </w:rPr>
      </w:pPr>
    </w:p>
    <w:p w14:paraId="42BCD0E1">
      <w:pPr>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default" w:ascii="Times New Roman" w:hAnsi="Times New Roman" w:eastAsia="方正小标宋_GBK" w:cs="Times New Roman"/>
          <w:sz w:val="44"/>
          <w:szCs w:val="44"/>
          <w:lang w:eastAsia="zh-CN"/>
        </w:rPr>
      </w:pPr>
    </w:p>
    <w:p w14:paraId="44F13FE8">
      <w:pPr>
        <w:spacing w:line="600" w:lineRule="exact"/>
        <w:jc w:val="center"/>
        <w:rPr>
          <w:rFonts w:hint="default" w:ascii="Times New Roman" w:hAnsi="Times New Roman" w:eastAsia="方正小标宋_GBK" w:cs="Times New Roman"/>
          <w:sz w:val="44"/>
          <w:szCs w:val="44"/>
        </w:rPr>
      </w:pPr>
      <w:r>
        <w:rPr>
          <w:rFonts w:hint="eastAsia" w:eastAsia="方正小标宋_GBK" w:cs="Times New Roman"/>
          <w:sz w:val="40"/>
          <w:szCs w:val="44"/>
          <w:lang w:val="en-US" w:eastAsia="zh-CN"/>
        </w:rPr>
        <w:t>2025年公共体育场馆向社会免费或低收费开放补助资金项目绩效自评报告</w:t>
      </w:r>
    </w:p>
    <w:p w14:paraId="1FD122DF">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default" w:ascii="Times New Roman" w:hAnsi="Times New Roman" w:eastAsia="方正小标宋_GBK" w:cs="Times New Roman"/>
          <w:sz w:val="36"/>
          <w:szCs w:val="36"/>
          <w:lang w:eastAsia="zh-CN"/>
        </w:rPr>
      </w:pPr>
    </w:p>
    <w:p w14:paraId="44367EE3">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一、绩效目标分解下达情况</w:t>
      </w:r>
    </w:p>
    <w:p w14:paraId="33D258CD">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楷体_GB2312" w:cs="Times New Roman"/>
          <w:b w:val="0"/>
          <w:bCs w:val="0"/>
          <w:kern w:val="2"/>
          <w:sz w:val="32"/>
          <w:szCs w:val="32"/>
          <w:lang w:val="en-US" w:eastAsia="zh-CN" w:bidi="ar-SA"/>
        </w:rPr>
        <w:t>（一）下达预算情况</w:t>
      </w:r>
    </w:p>
    <w:p w14:paraId="7B575229">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根据《</w:t>
      </w:r>
      <w:r>
        <w:rPr>
          <w:rFonts w:hint="default" w:ascii="Times New Roman" w:hAnsi="Times New Roman" w:cs="Times New Roman"/>
          <w:sz w:val="32"/>
          <w:szCs w:val="32"/>
          <w:lang w:val="en-US" w:eastAsia="zh-CN"/>
        </w:rPr>
        <w:t>财政部关于下达2025年中央支持地方公共文化服务体系建设补助资金预算的通知</w:t>
      </w:r>
      <w:r>
        <w:rPr>
          <w:rFonts w:hint="eastAsia" w:ascii="Times New Roman" w:hAnsi="Times New Roman" w:cs="Times New Roman"/>
          <w:sz w:val="32"/>
          <w:szCs w:val="32"/>
          <w:lang w:val="en-US" w:eastAsia="zh-CN"/>
        </w:rPr>
        <w:t>》（财教</w:t>
      </w:r>
      <w:r>
        <w:rPr>
          <w:rFonts w:hint="default" w:ascii="Times New Roman" w:hAnsi="Times New Roman" w:eastAsia="仿宋_GB2312" w:cs="Times New Roman"/>
          <w:sz w:val="32"/>
          <w:szCs w:val="32"/>
        </w:rPr>
        <w:t>〔202</w:t>
      </w:r>
      <w:r>
        <w:rPr>
          <w:rFonts w:hint="default" w:ascii="Times New Roman" w:hAnsi="Times New Roman"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cs="Times New Roman"/>
          <w:sz w:val="32"/>
          <w:szCs w:val="32"/>
          <w:lang w:val="en-US" w:eastAsia="zh-CN"/>
        </w:rPr>
        <w:t>78号），分配新疆维吾尔自治区体育领域项目资金4181万元，分别是：公共体育场馆向社会免费或低收费开放3281万元、全民健身场地器材补短板工程900万元。自治区财政资金分解下达情况如下：</w:t>
      </w:r>
    </w:p>
    <w:p w14:paraId="0AEC67A9">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eastAsia="仿宋_GB2312" w:cs="Times New Roman"/>
          <w:sz w:val="32"/>
          <w:szCs w:val="32"/>
        </w:rPr>
        <w:t>根据自治区财政厅《关于下达202</w:t>
      </w:r>
      <w:r>
        <w:rPr>
          <w:rFonts w:hint="default" w:ascii="Times New Roman" w:hAnsi="Times New Roman" w:cs="Times New Roman"/>
          <w:sz w:val="32"/>
          <w:szCs w:val="32"/>
          <w:lang w:val="en-US" w:eastAsia="zh-CN"/>
        </w:rPr>
        <w:t>5</w:t>
      </w:r>
      <w:r>
        <w:rPr>
          <w:rFonts w:hint="default" w:ascii="Times New Roman" w:hAnsi="Times New Roman" w:eastAsia="仿宋_GB2312" w:cs="Times New Roman"/>
          <w:sz w:val="32"/>
          <w:szCs w:val="32"/>
        </w:rPr>
        <w:t>年中央补助地方公共文化服务体系建设（第二批）</w:t>
      </w:r>
      <w:r>
        <w:rPr>
          <w:rFonts w:hint="default" w:ascii="Times New Roman" w:hAnsi="Times New Roman" w:eastAsia="仿宋_GB2312" w:cs="Times New Roman"/>
          <w:sz w:val="32"/>
          <w:szCs w:val="32"/>
          <w:lang w:eastAsia="zh-CN"/>
        </w:rPr>
        <w:t>补助</w:t>
      </w:r>
      <w:r>
        <w:rPr>
          <w:rFonts w:hint="default" w:ascii="Times New Roman" w:hAnsi="Times New Roman" w:eastAsia="仿宋_GB2312" w:cs="Times New Roman"/>
          <w:sz w:val="32"/>
          <w:szCs w:val="32"/>
        </w:rPr>
        <w:t>资金预算的通知》（新财教〔202</w:t>
      </w:r>
      <w:r>
        <w:rPr>
          <w:rFonts w:hint="default" w:ascii="Times New Roman" w:hAnsi="Times New Roman" w:cs="Times New Roman"/>
          <w:sz w:val="32"/>
          <w:szCs w:val="32"/>
          <w:lang w:val="en-US" w:eastAsia="zh-CN"/>
        </w:rPr>
        <w:t>5</w:t>
      </w:r>
      <w:r>
        <w:rPr>
          <w:rFonts w:hint="default" w:ascii="Times New Roman" w:hAnsi="Times New Roman" w:eastAsia="仿宋_GB2312" w:cs="Times New Roman"/>
          <w:sz w:val="32"/>
          <w:szCs w:val="32"/>
        </w:rPr>
        <w:t>〕</w:t>
      </w:r>
      <w:r>
        <w:rPr>
          <w:rFonts w:hint="default" w:ascii="Times New Roman" w:hAnsi="Times New Roman" w:cs="Times New Roman"/>
          <w:sz w:val="32"/>
          <w:szCs w:val="32"/>
          <w:lang w:val="en-US" w:eastAsia="zh-CN"/>
        </w:rPr>
        <w:t>75</w:t>
      </w:r>
      <w:r>
        <w:rPr>
          <w:rFonts w:hint="default" w:ascii="Times New Roman" w:hAnsi="Times New Roman" w:eastAsia="仿宋_GB2312" w:cs="Times New Roman"/>
          <w:sz w:val="32"/>
          <w:szCs w:val="32"/>
        </w:rPr>
        <w:t>号）</w:t>
      </w:r>
      <w:r>
        <w:rPr>
          <w:rFonts w:hint="default" w:ascii="Times New Roman" w:hAnsi="Times New Roman" w:cs="Times New Roman"/>
          <w:sz w:val="32"/>
          <w:szCs w:val="32"/>
          <w:lang w:eastAsia="zh-CN"/>
        </w:rPr>
        <w:t>，下达</w:t>
      </w:r>
      <w:r>
        <w:rPr>
          <w:rFonts w:hint="default" w:ascii="Times New Roman" w:hAnsi="Times New Roman" w:cs="Times New Roman"/>
          <w:sz w:val="32"/>
          <w:szCs w:val="32"/>
          <w:lang w:val="en-US" w:eastAsia="zh-CN"/>
        </w:rPr>
        <w:t>14个地（州、市）107个公共体育场馆向社会免费开放或低收费开放</w:t>
      </w:r>
      <w:r>
        <w:rPr>
          <w:rFonts w:hint="default" w:ascii="Times New Roman" w:hAnsi="Times New Roman" w:eastAsia="仿宋_GB2312" w:cs="Times New Roman"/>
          <w:sz w:val="32"/>
          <w:szCs w:val="32"/>
        </w:rPr>
        <w:t>补助资金</w:t>
      </w:r>
      <w:r>
        <w:rPr>
          <w:rFonts w:hint="default" w:ascii="Times New Roman" w:hAnsi="Times New Roman" w:cs="Times New Roman"/>
          <w:sz w:val="32"/>
          <w:szCs w:val="32"/>
          <w:lang w:val="en-US" w:eastAsia="zh-CN"/>
        </w:rPr>
        <w:t>3281万元</w:t>
      </w:r>
      <w:r>
        <w:rPr>
          <w:rFonts w:hint="default" w:ascii="Times New Roman" w:hAnsi="Times New Roman" w:eastAsia="仿宋_GB2312" w:cs="Times New Roman"/>
          <w:sz w:val="32"/>
          <w:szCs w:val="32"/>
        </w:rPr>
        <w:t>。</w:t>
      </w:r>
      <w:r>
        <w:rPr>
          <w:rFonts w:hint="default" w:ascii="Times New Roman" w:hAnsi="Times New Roman" w:cs="Times New Roman"/>
          <w:sz w:val="32"/>
          <w:szCs w:val="32"/>
          <w:lang w:val="en-US" w:eastAsia="zh-CN"/>
        </w:rPr>
        <w:t>资金分配</w:t>
      </w:r>
      <w:r>
        <w:rPr>
          <w:rFonts w:hint="eastAsia" w:cs="Times New Roman"/>
          <w:sz w:val="32"/>
          <w:szCs w:val="32"/>
          <w:lang w:val="en-US" w:eastAsia="zh-CN"/>
        </w:rPr>
        <w:t>附表说明</w:t>
      </w:r>
      <w:r>
        <w:rPr>
          <w:rFonts w:hint="default" w:ascii="Times New Roman" w:hAnsi="Times New Roman" w:cs="Times New Roman"/>
          <w:sz w:val="32"/>
          <w:szCs w:val="32"/>
          <w:lang w:val="en-US" w:eastAsia="zh-CN"/>
        </w:rPr>
        <w:t>：</w:t>
      </w:r>
    </w:p>
    <w:p w14:paraId="6F4B8C69">
      <w:pPr>
        <w:keepNext w:val="0"/>
        <w:keepLines w:val="0"/>
        <w:pageBreakBefore w:val="0"/>
        <w:widowControl w:val="0"/>
        <w:kinsoku/>
        <w:wordWrap/>
        <w:overflowPunct/>
        <w:topLinePunct w:val="0"/>
        <w:autoSpaceDE/>
        <w:autoSpaceDN/>
        <w:bidi w:val="0"/>
        <w:adjustRightInd/>
        <w:snapToGrid w:val="0"/>
        <w:spacing w:beforeLines="0" w:afterLines="0" w:line="560" w:lineRule="exact"/>
        <w:ind w:firstLine="640" w:firstLineChars="200"/>
        <w:textAlignment w:val="auto"/>
        <w:rPr>
          <w:rFonts w:hint="default" w:ascii="Times New Roman" w:hAnsi="Times New Roman" w:eastAsia="楷体_GB2312" w:cs="Times New Roman"/>
          <w:b w:val="0"/>
          <w:bCs w:val="0"/>
          <w:kern w:val="2"/>
          <w:sz w:val="32"/>
          <w:szCs w:val="32"/>
          <w:lang w:val="en-US" w:eastAsia="zh-CN" w:bidi="ar-SA"/>
        </w:rPr>
      </w:pPr>
      <w:r>
        <w:rPr>
          <w:rFonts w:hint="default" w:ascii="Times New Roman" w:hAnsi="Times New Roman" w:eastAsia="楷体_GB2312" w:cs="Times New Roman"/>
          <w:b w:val="0"/>
          <w:bCs w:val="0"/>
          <w:kern w:val="2"/>
          <w:sz w:val="32"/>
          <w:szCs w:val="32"/>
          <w:lang w:val="en-US" w:eastAsia="zh-CN" w:bidi="ar-SA"/>
        </w:rPr>
        <w:t>（二）绩效目标分解下达情况</w:t>
      </w:r>
    </w:p>
    <w:p w14:paraId="3BCE744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eastAsia="仿宋_GB2312" w:cs="Times New Roman"/>
          <w:color w:val="000000"/>
          <w:sz w:val="32"/>
          <w:szCs w:val="32"/>
          <w:lang w:eastAsia="zh-CN"/>
        </w:rPr>
        <w:t>自治区</w:t>
      </w:r>
      <w:r>
        <w:rPr>
          <w:rFonts w:hint="default" w:ascii="Times New Roman" w:hAnsi="Times New Roman" w:eastAsia="仿宋_GB2312" w:cs="Times New Roman"/>
          <w:color w:val="000000"/>
          <w:sz w:val="32"/>
          <w:szCs w:val="32"/>
        </w:rPr>
        <w:t>财政</w:t>
      </w:r>
      <w:r>
        <w:rPr>
          <w:rFonts w:hint="default" w:ascii="Times New Roman" w:hAnsi="Times New Roman" w:eastAsia="仿宋_GB2312" w:cs="Times New Roman"/>
          <w:color w:val="000000"/>
          <w:sz w:val="32"/>
          <w:szCs w:val="32"/>
          <w:lang w:eastAsia="zh-CN"/>
        </w:rPr>
        <w:t>厅</w:t>
      </w:r>
      <w:r>
        <w:rPr>
          <w:rFonts w:hint="default" w:ascii="Times New Roman" w:hAnsi="Times New Roman" w:eastAsia="仿宋_GB2312" w:cs="Times New Roman"/>
          <w:color w:val="000000"/>
          <w:sz w:val="32"/>
          <w:szCs w:val="32"/>
        </w:rPr>
        <w:t>随文下达</w:t>
      </w:r>
      <w:r>
        <w:rPr>
          <w:rFonts w:hint="default" w:ascii="Times New Roman" w:hAnsi="Times New Roman" w:cs="Times New Roman"/>
          <w:sz w:val="32"/>
          <w:szCs w:val="32"/>
          <w:lang w:val="en-US" w:eastAsia="zh-CN"/>
        </w:rPr>
        <w:t>公共体育场馆向社会免费开放或低收费开放</w:t>
      </w:r>
      <w:r>
        <w:rPr>
          <w:rFonts w:hint="default" w:ascii="Times New Roman" w:hAnsi="Times New Roman" w:eastAsia="仿宋_GB2312" w:cs="Times New Roman"/>
          <w:sz w:val="32"/>
          <w:szCs w:val="32"/>
        </w:rPr>
        <w:t>补助</w:t>
      </w:r>
      <w:r>
        <w:rPr>
          <w:rFonts w:hint="default" w:ascii="Times New Roman" w:hAnsi="Times New Roman" w:cs="Times New Roman"/>
          <w:sz w:val="32"/>
          <w:szCs w:val="32"/>
          <w:lang w:eastAsia="zh-CN"/>
        </w:rPr>
        <w:t>项目绩效目标表</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sz w:val="32"/>
          <w:szCs w:val="32"/>
        </w:rPr>
        <w:t>《关于下达202</w:t>
      </w:r>
      <w:r>
        <w:rPr>
          <w:rFonts w:hint="default" w:ascii="Times New Roman" w:hAnsi="Times New Roman" w:cs="Times New Roman"/>
          <w:sz w:val="32"/>
          <w:szCs w:val="32"/>
          <w:lang w:val="en-US" w:eastAsia="zh-CN"/>
        </w:rPr>
        <w:t>5</w:t>
      </w:r>
      <w:r>
        <w:rPr>
          <w:rFonts w:hint="default" w:ascii="Times New Roman" w:hAnsi="Times New Roman" w:eastAsia="仿宋_GB2312" w:cs="Times New Roman"/>
          <w:sz w:val="32"/>
          <w:szCs w:val="32"/>
        </w:rPr>
        <w:t>年中央补助地方公共文化服务体系建设（第二批）</w:t>
      </w:r>
      <w:r>
        <w:rPr>
          <w:rFonts w:hint="default" w:ascii="Times New Roman" w:hAnsi="Times New Roman" w:eastAsia="仿宋_GB2312" w:cs="Times New Roman"/>
          <w:sz w:val="32"/>
          <w:szCs w:val="32"/>
          <w:lang w:eastAsia="zh-CN"/>
        </w:rPr>
        <w:t>补助</w:t>
      </w:r>
      <w:r>
        <w:rPr>
          <w:rFonts w:hint="default" w:ascii="Times New Roman" w:hAnsi="Times New Roman" w:eastAsia="仿宋_GB2312" w:cs="Times New Roman"/>
          <w:sz w:val="32"/>
          <w:szCs w:val="32"/>
        </w:rPr>
        <w:t>资金预算的通知》（新财教〔202</w:t>
      </w:r>
      <w:r>
        <w:rPr>
          <w:rFonts w:hint="default" w:ascii="Times New Roman" w:hAnsi="Times New Roman" w:cs="Times New Roman"/>
          <w:sz w:val="32"/>
          <w:szCs w:val="32"/>
          <w:lang w:val="en-US" w:eastAsia="zh-CN"/>
        </w:rPr>
        <w:t>5</w:t>
      </w:r>
      <w:r>
        <w:rPr>
          <w:rFonts w:hint="default" w:ascii="Times New Roman" w:hAnsi="Times New Roman" w:eastAsia="仿宋_GB2312" w:cs="Times New Roman"/>
          <w:sz w:val="32"/>
          <w:szCs w:val="32"/>
        </w:rPr>
        <w:t>〕</w:t>
      </w:r>
      <w:r>
        <w:rPr>
          <w:rFonts w:hint="default" w:ascii="Times New Roman" w:hAnsi="Times New Roman" w:cs="Times New Roman"/>
          <w:sz w:val="32"/>
          <w:szCs w:val="32"/>
          <w:lang w:val="en-US" w:eastAsia="zh-CN"/>
        </w:rPr>
        <w:t>75</w:t>
      </w:r>
      <w:r>
        <w:rPr>
          <w:rFonts w:hint="default" w:ascii="Times New Roman" w:hAnsi="Times New Roman" w:eastAsia="仿宋_GB2312" w:cs="Times New Roman"/>
          <w:sz w:val="32"/>
          <w:szCs w:val="32"/>
        </w:rPr>
        <w:t>号）</w:t>
      </w:r>
      <w:r>
        <w:rPr>
          <w:rFonts w:hint="default" w:ascii="Times New Roman" w:hAnsi="Times New Roman" w:cs="Times New Roman"/>
          <w:sz w:val="32"/>
          <w:szCs w:val="32"/>
          <w:lang w:eastAsia="zh-CN"/>
        </w:rPr>
        <w:t>，具体为</w:t>
      </w:r>
      <w:r>
        <w:rPr>
          <w:rFonts w:hint="eastAsia" w:cs="Times New Roman"/>
          <w:sz w:val="32"/>
          <w:szCs w:val="32"/>
          <w:lang w:val="en-US" w:eastAsia="zh-CN"/>
        </w:rPr>
        <w:t>附表说明</w:t>
      </w:r>
      <w:r>
        <w:rPr>
          <w:rFonts w:hint="default" w:ascii="Times New Roman" w:hAnsi="Times New Roman" w:cs="Times New Roman"/>
          <w:sz w:val="32"/>
          <w:szCs w:val="32"/>
          <w:lang w:eastAsia="zh-CN"/>
        </w:rPr>
        <w:t>：</w:t>
      </w:r>
    </w:p>
    <w:p w14:paraId="72557EC9">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黑体" w:cs="Times New Roman"/>
          <w:bCs/>
          <w:sz w:val="32"/>
          <w:szCs w:val="32"/>
        </w:rPr>
      </w:pPr>
      <w:r>
        <w:rPr>
          <w:rFonts w:hint="eastAsia" w:eastAsia="黑体" w:cs="Times New Roman"/>
          <w:bCs/>
          <w:sz w:val="32"/>
          <w:szCs w:val="32"/>
          <w:lang w:val="en-US" w:eastAsia="zh-CN"/>
        </w:rPr>
        <w:t>二</w:t>
      </w:r>
      <w:r>
        <w:rPr>
          <w:rFonts w:hint="default" w:ascii="Times New Roman" w:hAnsi="Times New Roman" w:eastAsia="黑体" w:cs="Times New Roman"/>
          <w:bCs/>
          <w:sz w:val="32"/>
          <w:szCs w:val="32"/>
        </w:rPr>
        <w:t>、绩效</w:t>
      </w:r>
      <w:r>
        <w:rPr>
          <w:rFonts w:hint="eastAsia" w:eastAsia="黑体" w:cs="Times New Roman"/>
          <w:bCs/>
          <w:sz w:val="32"/>
          <w:szCs w:val="32"/>
          <w:lang w:val="en-US" w:eastAsia="zh-CN"/>
        </w:rPr>
        <w:t>目标完成</w:t>
      </w:r>
      <w:r>
        <w:rPr>
          <w:rFonts w:hint="default" w:ascii="Times New Roman" w:hAnsi="Times New Roman" w:eastAsia="黑体" w:cs="Times New Roman"/>
          <w:bCs/>
          <w:sz w:val="32"/>
          <w:szCs w:val="32"/>
        </w:rPr>
        <w:t>情况分析</w:t>
      </w:r>
    </w:p>
    <w:p w14:paraId="47ED3BEA">
      <w:pPr>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（一）</w:t>
      </w:r>
      <w:r>
        <w:rPr>
          <w:rFonts w:hint="eastAsia" w:eastAsia="楷体" w:cs="Times New Roman"/>
          <w:b/>
          <w:bCs/>
          <w:sz w:val="32"/>
          <w:szCs w:val="32"/>
          <w:lang w:val="en-US" w:eastAsia="zh-CN"/>
        </w:rPr>
        <w:t>项目资金到位</w:t>
      </w:r>
      <w:r>
        <w:rPr>
          <w:rFonts w:hint="default" w:ascii="Times New Roman" w:hAnsi="Times New Roman" w:eastAsia="楷体" w:cs="Times New Roman"/>
          <w:b/>
          <w:bCs/>
          <w:sz w:val="32"/>
          <w:szCs w:val="32"/>
        </w:rPr>
        <w:t>情况分析</w:t>
      </w:r>
    </w:p>
    <w:p w14:paraId="271C94F9">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rPr>
        <w:t>202</w:t>
      </w:r>
      <w:r>
        <w:rPr>
          <w:rFonts w:hint="eastAsia" w:cs="Times New Roman"/>
          <w:sz w:val="32"/>
          <w:szCs w:val="32"/>
          <w:lang w:val="en-US" w:eastAsia="zh-CN"/>
        </w:rPr>
        <w:t>5</w:t>
      </w:r>
      <w:r>
        <w:rPr>
          <w:rFonts w:hint="default" w:ascii="Times New Roman" w:hAnsi="Times New Roman" w:eastAsia="仿宋_GB2312" w:cs="Times New Roman"/>
          <w:sz w:val="32"/>
          <w:szCs w:val="32"/>
          <w:lang w:val="en-US" w:eastAsia="zh-CN"/>
        </w:rPr>
        <w:t>年度，2025年公共体育场馆向社会免费或低收费开放补助资金项目</w:t>
      </w:r>
      <w:r>
        <w:rPr>
          <w:rFonts w:hint="default" w:ascii="Times New Roman" w:hAnsi="Times New Roman" w:eastAsia="仿宋_GB2312" w:cs="Times New Roman"/>
          <w:sz w:val="32"/>
          <w:szCs w:val="32"/>
        </w:rPr>
        <w:t>资金</w:t>
      </w:r>
      <w:r>
        <w:rPr>
          <w:rFonts w:hint="eastAsia" w:cs="Times New Roman"/>
          <w:sz w:val="32"/>
          <w:szCs w:val="32"/>
          <w:lang w:val="en-US" w:eastAsia="zh-CN"/>
        </w:rPr>
        <w:t>3281</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color w:val="000000"/>
          <w:sz w:val="32"/>
          <w:szCs w:val="32"/>
          <w:highlight w:val="none"/>
          <w:lang w:val="en-US" w:eastAsia="zh-CN"/>
        </w:rPr>
        <w:t>资金到位</w:t>
      </w:r>
      <w:r>
        <w:rPr>
          <w:rFonts w:hint="eastAsia" w:cs="Times New Roman"/>
          <w:sz w:val="32"/>
          <w:szCs w:val="32"/>
          <w:lang w:val="en-US" w:eastAsia="zh-CN"/>
        </w:rPr>
        <w:t>3281</w:t>
      </w:r>
      <w:r>
        <w:rPr>
          <w:rFonts w:hint="default" w:ascii="Times New Roman" w:hAnsi="Times New Roman" w:eastAsia="仿宋_GB2312" w:cs="Times New Roman"/>
          <w:color w:val="000000"/>
          <w:sz w:val="32"/>
          <w:szCs w:val="32"/>
          <w:highlight w:val="none"/>
          <w:lang w:val="en-US" w:eastAsia="zh-CN"/>
        </w:rPr>
        <w:t>万元，到位率100%</w:t>
      </w:r>
      <w:r>
        <w:rPr>
          <w:rFonts w:hint="eastAsia" w:cs="Times New Roman"/>
          <w:color w:val="000000"/>
          <w:sz w:val="32"/>
          <w:szCs w:val="32"/>
          <w:highlight w:val="none"/>
          <w:lang w:val="en-US" w:eastAsia="zh-CN"/>
        </w:rPr>
        <w:t>。</w:t>
      </w:r>
    </w:p>
    <w:p w14:paraId="06337F96">
      <w:pPr>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eastAsia="楷体" w:cs="Times New Roman"/>
          <w:b/>
          <w:bCs/>
          <w:sz w:val="32"/>
          <w:szCs w:val="32"/>
          <w:highlight w:val="none"/>
          <w:lang w:val="en-US" w:eastAsia="zh-CN"/>
        </w:rPr>
      </w:pPr>
      <w:r>
        <w:rPr>
          <w:rFonts w:hint="default" w:ascii="Times New Roman" w:hAnsi="Times New Roman" w:eastAsia="楷体" w:cs="Times New Roman"/>
          <w:b/>
          <w:bCs/>
          <w:sz w:val="32"/>
          <w:szCs w:val="32"/>
          <w:highlight w:val="none"/>
        </w:rPr>
        <w:t>（二）</w:t>
      </w:r>
      <w:r>
        <w:rPr>
          <w:rFonts w:hint="eastAsia" w:eastAsia="楷体" w:cs="Times New Roman"/>
          <w:b/>
          <w:bCs/>
          <w:sz w:val="32"/>
          <w:szCs w:val="32"/>
          <w:highlight w:val="none"/>
          <w:lang w:val="en-US" w:eastAsia="zh-CN"/>
        </w:rPr>
        <w:t>项目资金执行情况分析</w:t>
      </w:r>
    </w:p>
    <w:p w14:paraId="47B9E838">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楷体" w:cs="Times New Roman"/>
          <w:b/>
          <w:bCs/>
          <w:sz w:val="32"/>
          <w:szCs w:val="32"/>
          <w:highlight w:val="none"/>
        </w:rPr>
      </w:pPr>
      <w:r>
        <w:rPr>
          <w:rFonts w:hint="default" w:ascii="Times New Roman" w:hAnsi="Times New Roman" w:eastAsia="仿宋_GB2312" w:cs="Times New Roman"/>
          <w:color w:val="000000"/>
          <w:sz w:val="32"/>
          <w:szCs w:val="32"/>
          <w:highlight w:val="none"/>
          <w:lang w:val="en-US" w:eastAsia="zh-CN"/>
        </w:rPr>
        <w:t>截至</w:t>
      </w:r>
      <w:bookmarkStart w:id="0" w:name="_GoBack"/>
      <w:r>
        <w:rPr>
          <w:rFonts w:hint="default" w:ascii="Times New Roman" w:hAnsi="Times New Roman" w:eastAsia="仿宋_GB2312" w:cs="Times New Roman"/>
          <w:color w:val="000000"/>
          <w:sz w:val="32"/>
          <w:szCs w:val="32"/>
          <w:highlight w:val="none"/>
          <w:lang w:val="en-US" w:eastAsia="zh-CN"/>
        </w:rPr>
        <w:t>2025年</w:t>
      </w:r>
      <w:r>
        <w:rPr>
          <w:rFonts w:hint="eastAsia" w:cs="Times New Roman"/>
          <w:color w:val="000000"/>
          <w:sz w:val="32"/>
          <w:szCs w:val="32"/>
          <w:highlight w:val="none"/>
          <w:lang w:val="en-US" w:eastAsia="zh-CN"/>
        </w:rPr>
        <w:t>12</w:t>
      </w:r>
      <w:r>
        <w:rPr>
          <w:rFonts w:hint="default" w:ascii="Times New Roman" w:hAnsi="Times New Roman" w:eastAsia="仿宋_GB2312" w:cs="Times New Roman"/>
          <w:color w:val="000000"/>
          <w:sz w:val="32"/>
          <w:szCs w:val="32"/>
          <w:highlight w:val="none"/>
          <w:lang w:val="en-US" w:eastAsia="zh-CN"/>
        </w:rPr>
        <w:t>月</w:t>
      </w:r>
      <w:r>
        <w:rPr>
          <w:rFonts w:hint="eastAsia" w:cs="Times New Roman"/>
          <w:color w:val="000000"/>
          <w:sz w:val="32"/>
          <w:szCs w:val="32"/>
          <w:highlight w:val="none"/>
          <w:lang w:val="en-US" w:eastAsia="zh-CN"/>
        </w:rPr>
        <w:t>31</w:t>
      </w:r>
      <w:r>
        <w:rPr>
          <w:rFonts w:hint="default" w:ascii="Times New Roman" w:hAnsi="Times New Roman" w:eastAsia="仿宋_GB2312" w:cs="Times New Roman"/>
          <w:color w:val="000000"/>
          <w:sz w:val="32"/>
          <w:szCs w:val="32"/>
          <w:highlight w:val="none"/>
          <w:lang w:val="en-US" w:eastAsia="zh-CN"/>
        </w:rPr>
        <w:t>日</w:t>
      </w:r>
      <w:bookmarkEnd w:id="0"/>
      <w:r>
        <w:rPr>
          <w:rFonts w:hint="default" w:ascii="Times New Roman" w:hAnsi="Times New Roman" w:eastAsia="仿宋_GB2312" w:cs="Times New Roman"/>
          <w:sz w:val="32"/>
          <w:szCs w:val="32"/>
          <w:lang w:val="en-US" w:eastAsia="zh-CN"/>
        </w:rPr>
        <w:t>，2025年公共体育场馆向社会免费或低收费开放补助资金项目</w:t>
      </w:r>
      <w:r>
        <w:rPr>
          <w:rFonts w:hint="default" w:ascii="Times New Roman" w:hAnsi="Times New Roman" w:eastAsia="仿宋_GB2312" w:cs="Times New Roman"/>
          <w:sz w:val="32"/>
          <w:szCs w:val="32"/>
        </w:rPr>
        <w:t>资金</w:t>
      </w:r>
      <w:r>
        <w:rPr>
          <w:rFonts w:hint="eastAsia" w:cs="Times New Roman"/>
          <w:sz w:val="32"/>
          <w:szCs w:val="32"/>
          <w:lang w:val="en-US" w:eastAsia="zh-CN"/>
        </w:rPr>
        <w:t>3281</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color w:val="000000"/>
          <w:sz w:val="32"/>
          <w:szCs w:val="32"/>
          <w:highlight w:val="none"/>
          <w:lang w:val="en-US" w:eastAsia="zh-CN"/>
        </w:rPr>
        <w:t>资金</w:t>
      </w:r>
      <w:r>
        <w:rPr>
          <w:rFonts w:hint="eastAsia" w:cs="Times New Roman"/>
          <w:color w:val="000000"/>
          <w:sz w:val="32"/>
          <w:szCs w:val="32"/>
          <w:highlight w:val="none"/>
          <w:lang w:val="en-US" w:eastAsia="zh-CN"/>
        </w:rPr>
        <w:t>执行数</w:t>
      </w:r>
      <w:r>
        <w:rPr>
          <w:rFonts w:hint="eastAsia" w:cs="Times New Roman"/>
          <w:sz w:val="32"/>
          <w:szCs w:val="32"/>
          <w:lang w:val="en-US" w:eastAsia="zh-CN"/>
        </w:rPr>
        <w:t>3135.85</w:t>
      </w:r>
      <w:r>
        <w:rPr>
          <w:rFonts w:hint="default" w:ascii="Times New Roman" w:hAnsi="Times New Roman" w:eastAsia="仿宋_GB2312" w:cs="Times New Roman"/>
          <w:color w:val="000000"/>
          <w:sz w:val="32"/>
          <w:szCs w:val="32"/>
          <w:highlight w:val="none"/>
          <w:lang w:val="en-US" w:eastAsia="zh-CN"/>
        </w:rPr>
        <w:t>万元，</w:t>
      </w:r>
      <w:r>
        <w:rPr>
          <w:rFonts w:hint="eastAsia" w:cs="Times New Roman"/>
          <w:color w:val="000000"/>
          <w:sz w:val="32"/>
          <w:szCs w:val="32"/>
          <w:highlight w:val="none"/>
          <w:lang w:val="en-US" w:eastAsia="zh-CN"/>
        </w:rPr>
        <w:t>执行</w:t>
      </w:r>
      <w:r>
        <w:rPr>
          <w:rFonts w:hint="default" w:ascii="Times New Roman" w:hAnsi="Times New Roman" w:eastAsia="仿宋_GB2312" w:cs="Times New Roman"/>
          <w:color w:val="000000"/>
          <w:sz w:val="32"/>
          <w:szCs w:val="32"/>
          <w:highlight w:val="none"/>
          <w:lang w:val="en-US" w:eastAsia="zh-CN"/>
        </w:rPr>
        <w:t>率</w:t>
      </w:r>
      <w:r>
        <w:rPr>
          <w:rFonts w:hint="eastAsia" w:cs="Times New Roman"/>
          <w:color w:val="000000"/>
          <w:sz w:val="32"/>
          <w:szCs w:val="32"/>
          <w:highlight w:val="none"/>
          <w:lang w:val="en-US" w:eastAsia="zh-CN"/>
        </w:rPr>
        <w:t>95.58</w:t>
      </w:r>
      <w:r>
        <w:rPr>
          <w:rFonts w:hint="default" w:ascii="Times New Roman" w:hAnsi="Times New Roman" w:eastAsia="仿宋_GB2312" w:cs="Times New Roman"/>
          <w:color w:val="000000"/>
          <w:sz w:val="32"/>
          <w:szCs w:val="32"/>
          <w:highlight w:val="none"/>
          <w:lang w:val="en-US" w:eastAsia="zh-CN"/>
        </w:rPr>
        <w:t>%。</w:t>
      </w:r>
    </w:p>
    <w:p w14:paraId="5D06499F">
      <w:pPr>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eastAsia="楷体" w:cs="Times New Roman"/>
          <w:b/>
          <w:bCs/>
          <w:sz w:val="32"/>
          <w:szCs w:val="32"/>
          <w:highlight w:val="none"/>
        </w:rPr>
      </w:pPr>
      <w:r>
        <w:rPr>
          <w:rFonts w:hint="eastAsia" w:eastAsia="楷体" w:cs="Times New Roman"/>
          <w:b/>
          <w:bCs/>
          <w:sz w:val="32"/>
          <w:szCs w:val="32"/>
          <w:highlight w:val="none"/>
          <w:lang w:eastAsia="zh-CN"/>
        </w:rPr>
        <w:t>（</w:t>
      </w:r>
      <w:r>
        <w:rPr>
          <w:rFonts w:hint="eastAsia" w:eastAsia="楷体" w:cs="Times New Roman"/>
          <w:b/>
          <w:bCs/>
          <w:sz w:val="32"/>
          <w:szCs w:val="32"/>
          <w:highlight w:val="none"/>
          <w:lang w:val="en-US" w:eastAsia="zh-CN"/>
        </w:rPr>
        <w:t>三）</w:t>
      </w:r>
      <w:r>
        <w:rPr>
          <w:rFonts w:hint="default" w:ascii="Times New Roman" w:hAnsi="Times New Roman" w:eastAsia="楷体" w:cs="Times New Roman"/>
          <w:b/>
          <w:bCs/>
          <w:sz w:val="32"/>
          <w:szCs w:val="32"/>
          <w:highlight w:val="none"/>
        </w:rPr>
        <w:t>资金管理情况分析</w:t>
      </w:r>
    </w:p>
    <w:p w14:paraId="511FBE16">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1.资金分配科学性</w:t>
      </w:r>
    </w:p>
    <w:p w14:paraId="10FF2019">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spacing w:val="8"/>
          <w:sz w:val="32"/>
          <w:szCs w:val="32"/>
          <w:lang w:val="en-US" w:eastAsia="zh-CN"/>
        </w:rPr>
        <w:t>自治区体育局</w:t>
      </w:r>
      <w:r>
        <w:rPr>
          <w:rFonts w:hint="default" w:ascii="Times New Roman" w:hAnsi="Times New Roman" w:eastAsia="仿宋_GB2312" w:cs="Times New Roman"/>
          <w:spacing w:val="8"/>
          <w:sz w:val="32"/>
          <w:szCs w:val="32"/>
        </w:rPr>
        <w:t>严格按照转移支付管理制度</w:t>
      </w:r>
      <w:r>
        <w:rPr>
          <w:rFonts w:hint="default" w:ascii="Times New Roman" w:hAnsi="Times New Roman" w:eastAsia="仿宋_GB2312" w:cs="Times New Roman"/>
          <w:spacing w:val="7"/>
          <w:sz w:val="32"/>
          <w:szCs w:val="32"/>
        </w:rPr>
        <w:t>以及资金管理办</w:t>
      </w:r>
      <w:r>
        <w:rPr>
          <w:rFonts w:hint="default" w:ascii="Times New Roman" w:hAnsi="Times New Roman" w:eastAsia="仿宋_GB2312" w:cs="Times New Roman"/>
          <w:spacing w:val="-5"/>
          <w:sz w:val="32"/>
          <w:szCs w:val="32"/>
        </w:rPr>
        <w:t>法规定的范围和标准分配资金</w:t>
      </w:r>
      <w:r>
        <w:rPr>
          <w:rFonts w:hint="default" w:ascii="Times New Roman" w:hAnsi="Times New Roman" w:eastAsia="仿宋_GB2312" w:cs="Times New Roman"/>
          <w:spacing w:val="-5"/>
          <w:sz w:val="32"/>
          <w:szCs w:val="32"/>
          <w:lang w:eastAsia="zh-CN"/>
        </w:rPr>
        <w:t>，其中分配到</w:t>
      </w:r>
      <w:r>
        <w:rPr>
          <w:rFonts w:hint="default" w:ascii="Times New Roman" w:hAnsi="Times New Roman" w:eastAsia="仿宋_GB2312" w:cs="Times New Roman"/>
          <w:i w:val="0"/>
          <w:iCs w:val="0"/>
          <w:color w:val="000000"/>
          <w:kern w:val="0"/>
          <w:sz w:val="32"/>
          <w:szCs w:val="32"/>
          <w:u w:val="none"/>
          <w:lang w:val="en-US" w:eastAsia="zh-CN" w:bidi="ar"/>
        </w:rPr>
        <w:t>14个地（州、市）107个公共体育场馆向社会免费开放或低收费开放补助资金3</w:t>
      </w:r>
      <w:r>
        <w:rPr>
          <w:rFonts w:hint="eastAsia" w:cs="Times New Roman"/>
          <w:i w:val="0"/>
          <w:iCs w:val="0"/>
          <w:color w:val="000000"/>
          <w:kern w:val="0"/>
          <w:sz w:val="32"/>
          <w:szCs w:val="32"/>
          <w:u w:val="none"/>
          <w:lang w:val="en-US" w:eastAsia="zh-CN" w:bidi="ar"/>
        </w:rPr>
        <w:t>281</w:t>
      </w:r>
      <w:r>
        <w:rPr>
          <w:rFonts w:hint="default" w:ascii="Times New Roman" w:hAnsi="Times New Roman" w:eastAsia="仿宋_GB2312" w:cs="Times New Roman"/>
          <w:i w:val="0"/>
          <w:iCs w:val="0"/>
          <w:color w:val="000000"/>
          <w:kern w:val="0"/>
          <w:sz w:val="32"/>
          <w:szCs w:val="32"/>
          <w:u w:val="none"/>
          <w:lang w:val="en-US" w:eastAsia="zh-CN" w:bidi="ar"/>
        </w:rPr>
        <w:t>万元</w:t>
      </w:r>
      <w:r>
        <w:rPr>
          <w:rFonts w:hint="default" w:ascii="Times New Roman" w:hAnsi="Times New Roman" w:eastAsia="仿宋_GB2312" w:cs="Times New Roman"/>
          <w:spacing w:val="-5"/>
          <w:sz w:val="32"/>
          <w:szCs w:val="32"/>
          <w:lang w:val="en-US" w:eastAsia="zh-CN"/>
        </w:rPr>
        <w:t>。</w:t>
      </w:r>
    </w:p>
    <w:p w14:paraId="44247127">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eastAsia="仿宋_GB2312" w:cs="Times New Roman"/>
          <w:spacing w:val="-5"/>
          <w:sz w:val="32"/>
          <w:szCs w:val="32"/>
        </w:rPr>
      </w:pPr>
      <w:r>
        <w:rPr>
          <w:rFonts w:hint="default" w:ascii="Times New Roman" w:hAnsi="Times New Roman" w:eastAsia="仿宋_GB2312" w:cs="Times New Roman"/>
          <w:b/>
          <w:bCs/>
          <w:color w:val="000000"/>
          <w:sz w:val="32"/>
          <w:szCs w:val="32"/>
          <w:lang w:val="en-US" w:eastAsia="zh-CN"/>
        </w:rPr>
        <w:t>2.资金下达及时性</w:t>
      </w:r>
    </w:p>
    <w:p w14:paraId="6209C614">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eastAsia="仿宋_GB2312" w:cs="Times New Roman"/>
          <w:spacing w:val="8"/>
          <w:sz w:val="32"/>
          <w:szCs w:val="32"/>
          <w:lang w:val="en-US" w:eastAsia="zh-CN"/>
        </w:rPr>
      </w:pPr>
      <w:r>
        <w:rPr>
          <w:rFonts w:hint="default" w:ascii="Times New Roman" w:hAnsi="Times New Roman" w:cs="Times New Roman"/>
          <w:spacing w:val="8"/>
          <w:sz w:val="32"/>
          <w:szCs w:val="32"/>
          <w:lang w:val="en-US" w:eastAsia="zh-CN"/>
        </w:rPr>
        <w:t>自治区体育局</w:t>
      </w:r>
      <w:r>
        <w:rPr>
          <w:rFonts w:hint="default" w:ascii="Times New Roman" w:hAnsi="Times New Roman" w:eastAsia="仿宋_GB2312" w:cs="Times New Roman"/>
          <w:spacing w:val="8"/>
          <w:sz w:val="32"/>
          <w:szCs w:val="32"/>
        </w:rPr>
        <w:t>严格按照预算法及其实施条例、转移支付管理制度规定以及资金管理办法规定的时限要求分解下达。</w:t>
      </w:r>
      <w:r>
        <w:rPr>
          <w:rFonts w:hint="default" w:ascii="Times New Roman" w:hAnsi="Times New Roman" w:eastAsia="仿宋_GB2312" w:cs="Times New Roman"/>
          <w:spacing w:val="8"/>
          <w:sz w:val="32"/>
          <w:szCs w:val="32"/>
          <w:lang w:eastAsia="zh-CN"/>
        </w:rPr>
        <w:t>在收到自治区财政厅通知之日起</w:t>
      </w:r>
      <w:r>
        <w:rPr>
          <w:rFonts w:hint="default" w:ascii="Times New Roman" w:hAnsi="Times New Roman" w:cs="Times New Roman"/>
          <w:spacing w:val="8"/>
          <w:sz w:val="32"/>
          <w:szCs w:val="32"/>
          <w:lang w:eastAsia="zh-CN"/>
        </w:rPr>
        <w:t>，按时将资金分配情况报请局党组会议研究，</w:t>
      </w:r>
      <w:r>
        <w:rPr>
          <w:rFonts w:hint="default" w:ascii="Times New Roman" w:hAnsi="Times New Roman" w:cs="Times New Roman"/>
          <w:spacing w:val="8"/>
          <w:sz w:val="32"/>
          <w:szCs w:val="32"/>
          <w:lang w:val="en-US" w:eastAsia="zh-CN"/>
        </w:rPr>
        <w:t>通过后报送自治区财政厅，由财政厅直接将资金下达至14个地（州、市）财政局</w:t>
      </w:r>
      <w:r>
        <w:rPr>
          <w:rFonts w:hint="default" w:ascii="Times New Roman" w:hAnsi="Times New Roman" w:eastAsia="仿宋_GB2312" w:cs="Times New Roman"/>
          <w:color w:val="000000"/>
          <w:sz w:val="32"/>
          <w:szCs w:val="32"/>
          <w:lang w:val="en-US" w:eastAsia="zh-CN"/>
        </w:rPr>
        <w:t>。</w:t>
      </w:r>
    </w:p>
    <w:p w14:paraId="0D2B06CD">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color w:val="000000"/>
          <w:sz w:val="32"/>
          <w:szCs w:val="32"/>
          <w:lang w:val="en-US" w:eastAsia="zh-CN"/>
        </w:rPr>
        <w:t>3.资金拨付合规性</w:t>
      </w:r>
    </w:p>
    <w:p w14:paraId="336206CB">
      <w:pPr>
        <w:pStyle w:val="4"/>
        <w:keepNext w:val="0"/>
        <w:keepLines w:val="0"/>
        <w:pageBreakBefore w:val="0"/>
        <w:widowControl w:val="0"/>
        <w:kinsoku/>
        <w:wordWrap/>
        <w:overflowPunct/>
        <w:topLinePunct w:val="0"/>
        <w:bidi w:val="0"/>
        <w:spacing w:before="42" w:line="560" w:lineRule="exact"/>
        <w:ind w:right="126"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3"/>
          <w:sz w:val="32"/>
          <w:szCs w:val="32"/>
          <w:lang w:eastAsia="zh-CN"/>
        </w:rPr>
        <w:t>自治区体育局</w:t>
      </w:r>
      <w:r>
        <w:rPr>
          <w:rFonts w:hint="default" w:ascii="Times New Roman" w:hAnsi="Times New Roman" w:eastAsia="仿宋_GB2312" w:cs="Times New Roman"/>
          <w:spacing w:val="-3"/>
          <w:sz w:val="32"/>
          <w:szCs w:val="32"/>
        </w:rPr>
        <w:t>严格按照国库集中支付制度有关规定支付资金，未出现违规将资金从国库转入财政专户或支付到预算单位实</w:t>
      </w:r>
      <w:r>
        <w:rPr>
          <w:rFonts w:hint="default" w:ascii="Times New Roman" w:hAnsi="Times New Roman" w:eastAsia="仿宋_GB2312" w:cs="Times New Roman"/>
          <w:spacing w:val="-12"/>
          <w:sz w:val="32"/>
          <w:szCs w:val="32"/>
        </w:rPr>
        <w:t>有资金账户等问题。</w:t>
      </w:r>
    </w:p>
    <w:p w14:paraId="5A62A829">
      <w:pPr>
        <w:keepNext w:val="0"/>
        <w:keepLines w:val="0"/>
        <w:pageBreakBefore w:val="0"/>
        <w:widowControl w:val="0"/>
        <w:numPr>
          <w:ilvl w:val="0"/>
          <w:numId w:val="0"/>
        </w:numPr>
        <w:kinsoku/>
        <w:wordWrap/>
        <w:overflowPunct/>
        <w:topLinePunct w:val="0"/>
        <w:bidi w:val="0"/>
        <w:spacing w:line="560" w:lineRule="exact"/>
        <w:ind w:firstLine="645" w:firstLineChars="0"/>
        <w:textAlignment w:val="auto"/>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b/>
          <w:bCs/>
          <w:color w:val="000000"/>
          <w:kern w:val="2"/>
          <w:sz w:val="32"/>
          <w:szCs w:val="32"/>
          <w:lang w:val="en-US" w:eastAsia="zh-CN" w:bidi="ar-SA"/>
        </w:rPr>
        <w:t>4.</w:t>
      </w:r>
      <w:r>
        <w:rPr>
          <w:rFonts w:hint="default" w:ascii="Times New Roman" w:hAnsi="Times New Roman" w:eastAsia="仿宋_GB2312" w:cs="Times New Roman"/>
          <w:b/>
          <w:bCs/>
          <w:color w:val="000000"/>
          <w:sz w:val="32"/>
          <w:szCs w:val="32"/>
          <w:lang w:val="en-US" w:eastAsia="zh-CN"/>
        </w:rPr>
        <w:t>资金使用规范性</w:t>
      </w:r>
    </w:p>
    <w:p w14:paraId="72C26411">
      <w:pPr>
        <w:pStyle w:val="4"/>
        <w:keepNext w:val="0"/>
        <w:keepLines w:val="0"/>
        <w:pageBreakBefore w:val="0"/>
        <w:widowControl w:val="0"/>
        <w:kinsoku/>
        <w:wordWrap/>
        <w:overflowPunct/>
        <w:topLinePunct w:val="0"/>
        <w:bidi w:val="0"/>
        <w:spacing w:line="560" w:lineRule="exact"/>
        <w:ind w:firstLine="628"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spacing w:val="-3"/>
          <w:sz w:val="32"/>
          <w:szCs w:val="32"/>
          <w:lang w:eastAsia="zh-CN"/>
        </w:rPr>
        <w:t>自治区体育局</w:t>
      </w:r>
      <w:r>
        <w:rPr>
          <w:rFonts w:hint="eastAsia" w:ascii="Times New Roman" w:hAnsi="Times New Roman" w:eastAsia="仿宋_GB2312" w:cs="Times New Roman"/>
          <w:spacing w:val="-3"/>
          <w:sz w:val="32"/>
          <w:szCs w:val="32"/>
          <w:lang w:eastAsia="zh-CN"/>
        </w:rPr>
        <w:t>要求各项目实施单位</w:t>
      </w:r>
      <w:r>
        <w:rPr>
          <w:rFonts w:hint="default" w:ascii="Times New Roman" w:hAnsi="Times New Roman" w:eastAsia="仿宋_GB2312" w:cs="Times New Roman"/>
          <w:color w:val="000000"/>
          <w:sz w:val="32"/>
          <w:szCs w:val="32"/>
          <w:lang w:val="en-US" w:eastAsia="zh-CN"/>
        </w:rPr>
        <w:t>严格按照下达预算的科目和项目执行，未</w:t>
      </w:r>
      <w:r>
        <w:rPr>
          <w:rFonts w:hint="eastAsia" w:ascii="Times New Roman" w:hAnsi="Times New Roman" w:eastAsia="仿宋_GB2312" w:cs="Times New Roman"/>
          <w:color w:val="000000"/>
          <w:sz w:val="32"/>
          <w:szCs w:val="32"/>
          <w:lang w:val="en-US" w:eastAsia="zh-CN"/>
        </w:rPr>
        <w:t>发现</w:t>
      </w:r>
      <w:r>
        <w:rPr>
          <w:rFonts w:hint="default" w:ascii="Times New Roman" w:hAnsi="Times New Roman" w:eastAsia="仿宋_GB2312" w:cs="Times New Roman"/>
          <w:color w:val="000000"/>
          <w:sz w:val="32"/>
          <w:szCs w:val="32"/>
          <w:lang w:val="en-US" w:eastAsia="zh-CN"/>
        </w:rPr>
        <w:t>截留、挤占、挪用或擅自调整等问题。</w:t>
      </w:r>
    </w:p>
    <w:p w14:paraId="49D48934">
      <w:pPr>
        <w:pStyle w:val="4"/>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5.资金执行准确性</w:t>
      </w:r>
    </w:p>
    <w:p w14:paraId="34DF21E2">
      <w:pPr>
        <w:pStyle w:val="4"/>
        <w:keepNext w:val="0"/>
        <w:keepLines w:val="0"/>
        <w:pageBreakBefore w:val="0"/>
        <w:widowControl w:val="0"/>
        <w:kinsoku/>
        <w:wordWrap/>
        <w:overflowPunct/>
        <w:topLinePunct w:val="0"/>
        <w:bidi w:val="0"/>
        <w:spacing w:before="76" w:line="560" w:lineRule="exact"/>
        <w:ind w:right="180"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3"/>
          <w:sz w:val="32"/>
          <w:szCs w:val="32"/>
          <w:lang w:eastAsia="zh-CN"/>
        </w:rPr>
        <w:t>自治区体育局</w:t>
      </w:r>
      <w:r>
        <w:rPr>
          <w:rFonts w:hint="default" w:ascii="Times New Roman" w:hAnsi="Times New Roman" w:eastAsia="仿宋_GB2312" w:cs="Times New Roman"/>
          <w:spacing w:val="-5"/>
          <w:sz w:val="32"/>
          <w:szCs w:val="32"/>
        </w:rPr>
        <w:t>按照上级下达和本级预算安排的金额执行，</w:t>
      </w:r>
      <w:r>
        <w:rPr>
          <w:rFonts w:hint="default" w:ascii="Times New Roman" w:hAnsi="Times New Roman" w:eastAsia="仿宋_GB2312" w:cs="Times New Roman"/>
          <w:spacing w:val="-9"/>
          <w:sz w:val="32"/>
          <w:szCs w:val="32"/>
        </w:rPr>
        <w:t>不存在执行数偏离预算数较多的问题。</w:t>
      </w:r>
    </w:p>
    <w:p w14:paraId="7A926077">
      <w:pPr>
        <w:pStyle w:val="4"/>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6.预算绩效管理情况</w:t>
      </w:r>
    </w:p>
    <w:p w14:paraId="4AD4B31B">
      <w:pPr>
        <w:keepNext w:val="0"/>
        <w:keepLines w:val="0"/>
        <w:pageBreakBefore w:val="0"/>
        <w:widowControl w:val="0"/>
        <w:numPr>
          <w:ilvl w:val="0"/>
          <w:numId w:val="0"/>
        </w:numPr>
        <w:kinsoku/>
        <w:wordWrap/>
        <w:overflowPunct/>
        <w:topLinePunct w:val="0"/>
        <w:bidi w:val="0"/>
        <w:spacing w:line="560" w:lineRule="exact"/>
        <w:ind w:firstLine="628" w:firstLineChars="200"/>
        <w:jc w:val="both"/>
        <w:textAlignment w:val="auto"/>
        <w:rPr>
          <w:rFonts w:hint="default" w:ascii="Times New Roman" w:hAnsi="Times New Roman" w:eastAsia="仿宋_GB2312" w:cs="Times New Roman"/>
          <w:spacing w:val="-5"/>
          <w:kern w:val="2"/>
          <w:sz w:val="32"/>
          <w:szCs w:val="32"/>
          <w:lang w:val="en-US" w:eastAsia="zh-CN" w:bidi="ar-SA"/>
        </w:rPr>
      </w:pPr>
      <w:r>
        <w:rPr>
          <w:rFonts w:hint="default" w:ascii="Times New Roman" w:hAnsi="Times New Roman" w:eastAsia="仿宋_GB2312" w:cs="Times New Roman"/>
          <w:spacing w:val="-3"/>
          <w:sz w:val="32"/>
          <w:szCs w:val="32"/>
          <w:lang w:eastAsia="zh-CN"/>
        </w:rPr>
        <w:t>自治区体育局</w:t>
      </w:r>
      <w:r>
        <w:rPr>
          <w:rFonts w:hint="default" w:ascii="Times New Roman" w:hAnsi="Times New Roman" w:eastAsia="仿宋_GB2312" w:cs="Times New Roman"/>
          <w:spacing w:val="-5"/>
          <w:kern w:val="2"/>
          <w:sz w:val="32"/>
          <w:szCs w:val="32"/>
          <w:lang w:val="en-US" w:eastAsia="en-US" w:bidi="ar-SA"/>
        </w:rPr>
        <w:t>在细化下达预算时同步下达绩效目标，将有关资金纳入本级预算或对下转移支付绩效管理，开展绩效监控和绩效评价</w:t>
      </w:r>
      <w:r>
        <w:rPr>
          <w:rFonts w:hint="default" w:ascii="Times New Roman" w:hAnsi="Times New Roman" w:eastAsia="仿宋_GB2312" w:cs="Times New Roman"/>
          <w:spacing w:val="-5"/>
          <w:kern w:val="2"/>
          <w:sz w:val="32"/>
          <w:szCs w:val="32"/>
          <w:lang w:val="en-US" w:eastAsia="zh-CN" w:bidi="ar-SA"/>
        </w:rPr>
        <w:t>。</w:t>
      </w:r>
    </w:p>
    <w:p w14:paraId="49B80C4A">
      <w:pPr>
        <w:pStyle w:val="4"/>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7.支出责任履行情况</w:t>
      </w:r>
    </w:p>
    <w:p w14:paraId="0423BB1D">
      <w:pPr>
        <w:pStyle w:val="4"/>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根据《关于公共文化领域自治区以下财政事权和支出责任划分改革实施方案的通知》（新政办发〔2021〕8号）自治区财政配套补助资金608万元，足额到位。</w:t>
      </w:r>
    </w:p>
    <w:p w14:paraId="4F2BEB19">
      <w:pPr>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（三）总体绩效目标完成情况分析</w:t>
      </w:r>
    </w:p>
    <w:p w14:paraId="4466B144">
      <w:pPr>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color w:val="000000"/>
          <w:sz w:val="32"/>
          <w:szCs w:val="32"/>
          <w:lang w:val="en-US" w:eastAsia="zh-CN"/>
        </w:rPr>
        <w:t>公共体育场馆向社会免费开放或低收费开放补助资金</w:t>
      </w:r>
      <w:r>
        <w:rPr>
          <w:rFonts w:hint="default" w:ascii="Times New Roman" w:hAnsi="Times New Roman" w:cs="Times New Roman"/>
          <w:b/>
          <w:bCs/>
          <w:sz w:val="32"/>
          <w:szCs w:val="32"/>
          <w:lang w:eastAsia="zh-CN"/>
        </w:rPr>
        <w:t>项目</w:t>
      </w:r>
      <w:r>
        <w:rPr>
          <w:rFonts w:hint="default" w:ascii="Times New Roman" w:hAnsi="Times New Roman" w:eastAsia="仿宋_GB2312" w:cs="Times New Roman"/>
          <w:b/>
          <w:bCs/>
          <w:color w:val="000000"/>
          <w:sz w:val="32"/>
          <w:szCs w:val="32"/>
        </w:rPr>
        <w:t>绩效总体目标是</w:t>
      </w:r>
      <w:r>
        <w:rPr>
          <w:rFonts w:hint="default" w:ascii="Times New Roman" w:hAnsi="Times New Roman" w:eastAsia="仿宋_GB2312" w:cs="Times New Roman"/>
          <w:b/>
          <w:bCs/>
          <w:color w:val="000000"/>
          <w:sz w:val="32"/>
          <w:szCs w:val="32"/>
          <w:lang w:eastAsia="zh-CN"/>
        </w:rPr>
        <w:t>：</w:t>
      </w:r>
      <w:r>
        <w:rPr>
          <w:rFonts w:hint="default" w:ascii="Times New Roman" w:hAnsi="Times New Roman" w:eastAsia="仿宋_GB2312" w:cs="Times New Roman"/>
          <w:sz w:val="32"/>
          <w:szCs w:val="32"/>
        </w:rPr>
        <w:t>支持1</w:t>
      </w:r>
      <w:r>
        <w:rPr>
          <w:rFonts w:hint="default" w:ascii="Times New Roman" w:hAnsi="Times New Roman" w:cs="Times New Roman"/>
          <w:sz w:val="32"/>
          <w:szCs w:val="32"/>
          <w:lang w:val="en-US" w:eastAsia="zh-CN"/>
        </w:rPr>
        <w:t>4</w:t>
      </w:r>
      <w:r>
        <w:rPr>
          <w:rFonts w:hint="default" w:ascii="Times New Roman" w:hAnsi="Times New Roman" w:eastAsia="仿宋_GB2312" w:cs="Times New Roman"/>
          <w:sz w:val="32"/>
          <w:szCs w:val="32"/>
        </w:rPr>
        <w:t>个地州10</w:t>
      </w:r>
      <w:r>
        <w:rPr>
          <w:rFonts w:hint="default" w:ascii="Times New Roman" w:hAnsi="Times New Roman" w:cs="Times New Roman"/>
          <w:sz w:val="32"/>
          <w:szCs w:val="32"/>
          <w:lang w:val="en-US" w:eastAsia="zh-CN"/>
        </w:rPr>
        <w:t>7</w:t>
      </w:r>
      <w:r>
        <w:rPr>
          <w:rFonts w:hint="default" w:ascii="Times New Roman" w:hAnsi="Times New Roman" w:eastAsia="仿宋_GB2312" w:cs="Times New Roman"/>
          <w:sz w:val="32"/>
          <w:szCs w:val="32"/>
        </w:rPr>
        <w:t>个公共体育场馆免费或低收费开放，全年对外开放不少于330天，场馆所属户外公共区域及户外健身器材全年免费开放，全民健身日全面免费开放。积极落实体育场馆免费或低收费开放服务，不断提高运营管理能力和公共服务水平，满足人民群众日益增长的体育健身需求。</w:t>
      </w:r>
    </w:p>
    <w:p w14:paraId="690AB675">
      <w:pPr>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color w:val="000000"/>
          <w:sz w:val="32"/>
          <w:szCs w:val="32"/>
          <w:lang w:val="en-US" w:eastAsia="zh-CN"/>
        </w:rPr>
        <w:t>公共体育场馆向社会免费开放或低收费开放补助资金</w:t>
      </w:r>
      <w:r>
        <w:rPr>
          <w:rFonts w:hint="default" w:ascii="Times New Roman" w:hAnsi="Times New Roman" w:cs="Times New Roman"/>
          <w:b/>
          <w:bCs/>
          <w:sz w:val="32"/>
          <w:szCs w:val="32"/>
          <w:lang w:eastAsia="zh-CN"/>
        </w:rPr>
        <w:t>项目</w:t>
      </w:r>
      <w:r>
        <w:rPr>
          <w:rFonts w:hint="default" w:ascii="Times New Roman" w:hAnsi="Times New Roman" w:eastAsia="仿宋_GB2312" w:cs="Times New Roman"/>
          <w:b/>
          <w:bCs/>
          <w:color w:val="000000"/>
          <w:sz w:val="32"/>
          <w:szCs w:val="32"/>
        </w:rPr>
        <w:t>绩效总体</w:t>
      </w:r>
      <w:r>
        <w:rPr>
          <w:rFonts w:hint="default" w:ascii="Times New Roman" w:hAnsi="Times New Roman" w:eastAsia="仿宋_GB2312" w:cs="Times New Roman"/>
          <w:b/>
          <w:bCs/>
          <w:color w:val="000000"/>
          <w:sz w:val="32"/>
          <w:szCs w:val="32"/>
          <w:highlight w:val="none"/>
        </w:rPr>
        <w:t>目标完成情况</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sz w:val="32"/>
          <w:szCs w:val="32"/>
          <w:highlight w:val="none"/>
        </w:rPr>
        <w:t>截至</w:t>
      </w:r>
      <w:r>
        <w:rPr>
          <w:rFonts w:hint="default" w:ascii="Times New Roman" w:hAnsi="Times New Roman" w:cs="Times New Roman"/>
          <w:sz w:val="32"/>
          <w:szCs w:val="32"/>
          <w:highlight w:val="none"/>
          <w:lang w:val="en-US" w:eastAsia="zh-CN"/>
        </w:rPr>
        <w:t>2025年</w:t>
      </w:r>
      <w:r>
        <w:rPr>
          <w:rFonts w:hint="default" w:ascii="Times New Roman" w:hAnsi="Times New Roman" w:eastAsia="仿宋_GB2312" w:cs="Times New Roman"/>
          <w:sz w:val="32"/>
          <w:szCs w:val="32"/>
          <w:highlight w:val="none"/>
        </w:rPr>
        <w:t>12月，</w:t>
      </w:r>
      <w:r>
        <w:rPr>
          <w:rFonts w:hint="default" w:ascii="Times New Roman" w:hAnsi="Times New Roman" w:cs="Times New Roman"/>
          <w:sz w:val="32"/>
          <w:szCs w:val="32"/>
          <w:highlight w:val="none"/>
          <w:lang w:eastAsia="zh-CN"/>
        </w:rPr>
        <w:t>项目资金</w:t>
      </w:r>
      <w:r>
        <w:rPr>
          <w:rFonts w:hint="default" w:ascii="Times New Roman" w:hAnsi="Times New Roman" w:eastAsia="仿宋_GB2312" w:cs="Times New Roman"/>
          <w:sz w:val="32"/>
          <w:szCs w:val="32"/>
          <w:highlight w:val="none"/>
        </w:rPr>
        <w:t>已支出</w:t>
      </w:r>
      <w:r>
        <w:rPr>
          <w:rFonts w:hint="default" w:ascii="Times New Roman" w:hAnsi="Times New Roman" w:cs="Times New Roman"/>
          <w:sz w:val="32"/>
          <w:szCs w:val="32"/>
          <w:highlight w:val="none"/>
          <w:lang w:val="en-US" w:eastAsia="zh-CN"/>
        </w:rPr>
        <w:t>3</w:t>
      </w:r>
      <w:r>
        <w:rPr>
          <w:rFonts w:hint="eastAsia" w:cs="Times New Roman"/>
          <w:sz w:val="32"/>
          <w:szCs w:val="32"/>
          <w:highlight w:val="none"/>
          <w:lang w:val="en-US" w:eastAsia="zh-CN"/>
        </w:rPr>
        <w:t>135.85</w:t>
      </w:r>
      <w:r>
        <w:rPr>
          <w:rFonts w:hint="default" w:ascii="Times New Roman" w:hAnsi="Times New Roman" w:eastAsia="仿宋_GB2312" w:cs="Times New Roman"/>
          <w:sz w:val="32"/>
          <w:szCs w:val="32"/>
          <w:highlight w:val="none"/>
        </w:rPr>
        <w:t>万元，预算执行率为9</w:t>
      </w:r>
      <w:r>
        <w:rPr>
          <w:rFonts w:hint="default" w:ascii="Times New Roman" w:hAnsi="Times New Roman" w:cs="Times New Roman"/>
          <w:sz w:val="32"/>
          <w:szCs w:val="32"/>
          <w:highlight w:val="none"/>
          <w:lang w:val="en-US" w:eastAsia="zh-CN"/>
        </w:rPr>
        <w:t>5.</w:t>
      </w:r>
      <w:r>
        <w:rPr>
          <w:rFonts w:hint="eastAsia" w:cs="Times New Roman"/>
          <w:sz w:val="32"/>
          <w:szCs w:val="32"/>
          <w:highlight w:val="none"/>
          <w:lang w:val="en-US" w:eastAsia="zh-CN"/>
        </w:rPr>
        <w:t>58</w:t>
      </w:r>
      <w:r>
        <w:rPr>
          <w:rFonts w:hint="default" w:ascii="Times New Roman" w:hAnsi="Times New Roman" w:eastAsia="仿宋_GB2312" w:cs="Times New Roman"/>
          <w:sz w:val="32"/>
          <w:szCs w:val="32"/>
          <w:highlight w:val="none"/>
        </w:rPr>
        <w:t>%,本项目</w:t>
      </w:r>
      <w:r>
        <w:rPr>
          <w:rFonts w:hint="default" w:ascii="Times New Roman" w:hAnsi="Times New Roman" w:eastAsia="仿宋_GB2312" w:cs="Times New Roman"/>
          <w:sz w:val="32"/>
          <w:szCs w:val="32"/>
        </w:rPr>
        <w:t>支持13个地州市107个体育场馆免费或低收费开放，全年对外开放330天，每周开放35小时，国家法定节假日、全民健身日和学校寒暑假期间每天开放8小时。项目实施后积极落实体育场馆免费或低收费开放服务，不断提高运营管理能力和公共服务水平，满足人民群众日益增长的体育健身需求。</w:t>
      </w:r>
    </w:p>
    <w:p w14:paraId="35D87804">
      <w:pPr>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（四）绩效指标完成情况分析</w:t>
      </w:r>
    </w:p>
    <w:p w14:paraId="41F7CEF3">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1.产出指标完成情况分析</w:t>
      </w:r>
    </w:p>
    <w:p w14:paraId="58654F68">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（1）数量指标</w:t>
      </w:r>
    </w:p>
    <w:p w14:paraId="5E1A502E">
      <w:pPr>
        <w:keepNext w:val="0"/>
        <w:keepLines w:val="0"/>
        <w:pageBreakBefore w:val="0"/>
        <w:widowControl w:val="0"/>
        <w:tabs>
          <w:tab w:val="left" w:pos="0"/>
        </w:tabs>
        <w:kinsoku/>
        <w:wordWrap/>
        <w:overflowPunct/>
        <w:topLinePunct w:val="0"/>
        <w:bidi w:val="0"/>
        <w:spacing w:line="560" w:lineRule="exact"/>
        <w:ind w:firstLine="643" w:firstLineChars="200"/>
        <w:textAlignment w:val="auto"/>
        <w:rPr>
          <w:rFonts w:hint="default" w:ascii="Times New Roman" w:hAnsi="Times New Roman" w:eastAsia="仿宋_GB2312" w:cs="Times New Roman"/>
          <w:b/>
          <w:bCs/>
          <w:color w:val="000000"/>
          <w:kern w:val="2"/>
          <w:sz w:val="32"/>
          <w:szCs w:val="32"/>
          <w:lang w:val="en-US" w:eastAsia="zh-CN" w:bidi="ar-SA"/>
        </w:rPr>
      </w:pPr>
      <w:r>
        <w:rPr>
          <w:rFonts w:hint="default" w:ascii="Times New Roman" w:hAnsi="Times New Roman" w:eastAsia="仿宋_GB2312" w:cs="Times New Roman"/>
          <w:b/>
          <w:bCs/>
          <w:color w:val="000000"/>
          <w:kern w:val="2"/>
          <w:sz w:val="32"/>
          <w:szCs w:val="32"/>
          <w:lang w:val="en-US" w:eastAsia="zh-CN" w:bidi="ar-SA"/>
        </w:rPr>
        <w:t>2025年公共体育场馆向社会免费或低收费开放补助资金</w:t>
      </w:r>
      <w:r>
        <w:rPr>
          <w:rFonts w:hint="default" w:ascii="Times New Roman" w:hAnsi="Times New Roman" w:cs="Times New Roman"/>
          <w:b/>
          <w:bCs/>
          <w:color w:val="000000"/>
          <w:kern w:val="2"/>
          <w:sz w:val="32"/>
          <w:szCs w:val="32"/>
          <w:lang w:val="en-US" w:eastAsia="zh-CN" w:bidi="ar-SA"/>
        </w:rPr>
        <w:t>：</w:t>
      </w:r>
    </w:p>
    <w:p w14:paraId="10C35C1F">
      <w:pPr>
        <w:keepNext w:val="0"/>
        <w:keepLines w:val="0"/>
        <w:pageBreakBefore w:val="0"/>
        <w:widowControl w:val="0"/>
        <w:tabs>
          <w:tab w:val="left" w:pos="0"/>
        </w:tabs>
        <w:kinsoku/>
        <w:wordWrap/>
        <w:overflowPunct/>
        <w:topLinePunct w:val="0"/>
        <w:bidi w:val="0"/>
        <w:spacing w:line="560" w:lineRule="exact"/>
        <w:ind w:firstLine="640" w:firstLineChars="200"/>
        <w:textAlignment w:val="auto"/>
        <w:rPr>
          <w:rFonts w:hint="default" w:ascii="Times New Roman" w:hAnsi="Times New Roman" w:cs="Times New Roman"/>
          <w:color w:val="000000"/>
          <w:kern w:val="2"/>
          <w:sz w:val="32"/>
          <w:szCs w:val="32"/>
          <w:lang w:val="en-US" w:eastAsia="zh-CN" w:bidi="ar-SA"/>
        </w:rPr>
      </w:pPr>
      <w:r>
        <w:rPr>
          <w:rFonts w:hint="default" w:ascii="Times New Roman" w:hAnsi="Times New Roman" w:cs="Times New Roman"/>
          <w:color w:val="000000"/>
          <w:kern w:val="2"/>
          <w:sz w:val="32"/>
          <w:szCs w:val="32"/>
          <w:lang w:val="en-US" w:eastAsia="zh-CN" w:bidi="ar-SA"/>
        </w:rPr>
        <w:t>a.</w:t>
      </w:r>
      <w:r>
        <w:rPr>
          <w:rFonts w:hint="default" w:ascii="Times New Roman" w:hAnsi="Times New Roman" w:eastAsia="仿宋_GB2312" w:cs="Times New Roman"/>
          <w:color w:val="000000"/>
          <w:kern w:val="2"/>
          <w:sz w:val="32"/>
          <w:szCs w:val="32"/>
          <w:lang w:val="en-US" w:eastAsia="zh-CN" w:bidi="ar-SA"/>
        </w:rPr>
        <w:t>公共体育场馆免费或低收费开放数量</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2"/>
          <w:sz w:val="32"/>
          <w:szCs w:val="32"/>
          <w:lang w:val="en-US" w:eastAsia="zh-CN" w:bidi="ar-SA"/>
        </w:rPr>
        <w:t>指标值为</w:t>
      </w:r>
      <w:r>
        <w:rPr>
          <w:rFonts w:hint="default" w:ascii="Times New Roman" w:hAnsi="Times New Roman" w:cs="Times New Roman"/>
          <w:color w:val="000000"/>
          <w:kern w:val="2"/>
          <w:sz w:val="32"/>
          <w:szCs w:val="32"/>
          <w:lang w:val="en-US" w:eastAsia="zh-CN" w:bidi="ar-SA"/>
        </w:rPr>
        <w:t>≥107个</w:t>
      </w:r>
      <w:r>
        <w:rPr>
          <w:rFonts w:hint="default" w:ascii="Times New Roman" w:hAnsi="Times New Roman" w:eastAsia="仿宋_GB2312" w:cs="Times New Roman"/>
          <w:color w:val="000000"/>
          <w:kern w:val="2"/>
          <w:sz w:val="32"/>
          <w:szCs w:val="32"/>
          <w:lang w:val="en-US" w:eastAsia="zh-CN" w:bidi="ar-SA"/>
        </w:rPr>
        <w:t>，实际完成107个，完成率</w:t>
      </w:r>
      <w:r>
        <w:rPr>
          <w:rFonts w:hint="default" w:ascii="Times New Roman" w:hAnsi="Times New Roman" w:cs="Times New Roman"/>
          <w:color w:val="000000"/>
          <w:kern w:val="2"/>
          <w:sz w:val="32"/>
          <w:szCs w:val="32"/>
          <w:lang w:val="en-US" w:eastAsia="zh-CN" w:bidi="ar-SA"/>
        </w:rPr>
        <w:t>100</w:t>
      </w:r>
      <w:r>
        <w:rPr>
          <w:rFonts w:hint="default" w:ascii="Times New Roman" w:hAnsi="Times New Roman" w:eastAsia="仿宋_GB2312" w:cs="Times New Roman"/>
          <w:color w:val="000000"/>
          <w:kern w:val="2"/>
          <w:sz w:val="32"/>
          <w:szCs w:val="32"/>
          <w:lang w:val="en-US" w:eastAsia="zh-CN" w:bidi="ar-SA"/>
        </w:rPr>
        <w:t>%，偏差率</w:t>
      </w:r>
      <w:r>
        <w:rPr>
          <w:rFonts w:hint="default" w:ascii="Times New Roman" w:hAnsi="Times New Roman" w:cs="Times New Roman"/>
          <w:color w:val="000000"/>
          <w:kern w:val="2"/>
          <w:sz w:val="32"/>
          <w:szCs w:val="32"/>
          <w:lang w:val="en-US" w:eastAsia="zh-CN" w:bidi="ar-SA"/>
        </w:rPr>
        <w:t>0</w:t>
      </w:r>
      <w:r>
        <w:rPr>
          <w:rFonts w:hint="default" w:ascii="Times New Roman" w:hAnsi="Times New Roman" w:eastAsia="仿宋_GB2312" w:cs="Times New Roman"/>
          <w:color w:val="000000"/>
          <w:kern w:val="2"/>
          <w:sz w:val="32"/>
          <w:szCs w:val="32"/>
          <w:lang w:val="en-US" w:eastAsia="zh-CN" w:bidi="ar-SA"/>
        </w:rPr>
        <w:t>%</w:t>
      </w:r>
      <w:r>
        <w:rPr>
          <w:rFonts w:hint="default" w:ascii="Times New Roman" w:hAnsi="Times New Roman" w:cs="Times New Roman"/>
          <w:color w:val="000000"/>
          <w:kern w:val="2"/>
          <w:sz w:val="32"/>
          <w:szCs w:val="32"/>
          <w:lang w:val="en-US" w:eastAsia="zh-CN" w:bidi="ar-SA"/>
        </w:rPr>
        <w:t>;</w:t>
      </w:r>
    </w:p>
    <w:p w14:paraId="18CBE3D1">
      <w:pPr>
        <w:keepNext w:val="0"/>
        <w:keepLines w:val="0"/>
        <w:pageBreakBefore w:val="0"/>
        <w:widowControl w:val="0"/>
        <w:tabs>
          <w:tab w:val="left" w:pos="0"/>
        </w:tabs>
        <w:kinsoku/>
        <w:wordWrap/>
        <w:overflowPunct/>
        <w:topLinePunct w:val="0"/>
        <w:bidi w:val="0"/>
        <w:spacing w:line="560" w:lineRule="exact"/>
        <w:ind w:firstLine="640" w:firstLineChars="200"/>
        <w:textAlignment w:val="auto"/>
        <w:rPr>
          <w:rFonts w:hint="default" w:ascii="Times New Roman" w:hAnsi="Times New Roman" w:cs="Times New Roman"/>
          <w:color w:val="000000"/>
          <w:kern w:val="2"/>
          <w:sz w:val="32"/>
          <w:szCs w:val="32"/>
          <w:lang w:val="en-US" w:eastAsia="zh-CN" w:bidi="ar-SA"/>
        </w:rPr>
      </w:pPr>
      <w:r>
        <w:rPr>
          <w:rFonts w:hint="default" w:ascii="Times New Roman" w:hAnsi="Times New Roman" w:cs="Times New Roman"/>
          <w:color w:val="000000"/>
          <w:kern w:val="2"/>
          <w:sz w:val="32"/>
          <w:szCs w:val="32"/>
          <w:lang w:val="en-US" w:eastAsia="zh-CN" w:bidi="ar-SA"/>
        </w:rPr>
        <w:t>b.公共体育场馆年均免费或低收费开放天数,指标值为≥330天，实际完成33</w:t>
      </w:r>
      <w:r>
        <w:rPr>
          <w:rFonts w:hint="eastAsia" w:cs="Times New Roman"/>
          <w:color w:val="000000"/>
          <w:kern w:val="2"/>
          <w:sz w:val="32"/>
          <w:szCs w:val="32"/>
          <w:lang w:val="en-US" w:eastAsia="zh-CN" w:bidi="ar-SA"/>
        </w:rPr>
        <w:t>1</w:t>
      </w:r>
      <w:r>
        <w:rPr>
          <w:rFonts w:hint="default" w:ascii="Times New Roman" w:hAnsi="Times New Roman" w:cs="Times New Roman"/>
          <w:color w:val="000000"/>
          <w:kern w:val="2"/>
          <w:sz w:val="32"/>
          <w:szCs w:val="32"/>
          <w:lang w:val="en-US" w:eastAsia="zh-CN" w:bidi="ar-SA"/>
        </w:rPr>
        <w:t>天，完成率100%，偏差率0%；</w:t>
      </w:r>
    </w:p>
    <w:p w14:paraId="2DB370BA">
      <w:pPr>
        <w:keepNext w:val="0"/>
        <w:keepLines w:val="0"/>
        <w:pageBreakBefore w:val="0"/>
        <w:widowControl w:val="0"/>
        <w:tabs>
          <w:tab w:val="left" w:pos="0"/>
        </w:tabs>
        <w:kinsoku/>
        <w:wordWrap/>
        <w:overflowPunct/>
        <w:topLinePunct w:val="0"/>
        <w:bidi w:val="0"/>
        <w:spacing w:line="560" w:lineRule="exact"/>
        <w:ind w:firstLine="640" w:firstLineChars="200"/>
        <w:textAlignment w:val="auto"/>
        <w:rPr>
          <w:rFonts w:hint="default" w:ascii="Times New Roman" w:hAnsi="Times New Roman" w:cs="Times New Roman"/>
          <w:color w:val="000000"/>
          <w:kern w:val="2"/>
          <w:sz w:val="32"/>
          <w:szCs w:val="32"/>
          <w:lang w:val="en-US" w:eastAsia="zh-CN" w:bidi="ar-SA"/>
        </w:rPr>
      </w:pPr>
      <w:r>
        <w:rPr>
          <w:rFonts w:hint="default" w:ascii="Times New Roman" w:hAnsi="Times New Roman" w:cs="Times New Roman"/>
          <w:color w:val="000000"/>
          <w:kern w:val="2"/>
          <w:sz w:val="32"/>
          <w:szCs w:val="32"/>
          <w:lang w:val="en-US" w:eastAsia="zh-CN" w:bidi="ar-SA"/>
        </w:rPr>
        <w:t>c.每周开放时间,指标值为≥35小时，实际完成36.8小时，完成率100%，偏差率0%；</w:t>
      </w:r>
    </w:p>
    <w:p w14:paraId="16035000">
      <w:pPr>
        <w:keepNext w:val="0"/>
        <w:keepLines w:val="0"/>
        <w:pageBreakBefore w:val="0"/>
        <w:widowControl w:val="0"/>
        <w:tabs>
          <w:tab w:val="left" w:pos="0"/>
        </w:tabs>
        <w:kinsoku/>
        <w:wordWrap/>
        <w:overflowPunct/>
        <w:topLinePunct w:val="0"/>
        <w:bidi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cs="Times New Roman"/>
          <w:color w:val="000000"/>
          <w:kern w:val="2"/>
          <w:sz w:val="32"/>
          <w:szCs w:val="32"/>
          <w:lang w:val="en-US" w:eastAsia="zh-CN" w:bidi="ar-SA"/>
        </w:rPr>
        <w:t>d.国家法定节假日、全民健身日和学校寒暑假期间每天开放时间,指标值为</w:t>
      </w:r>
      <w:r>
        <w:rPr>
          <w:rFonts w:hint="default" w:ascii="Times New Roman" w:hAnsi="Times New Roman" w:cs="Times New Roman"/>
          <w:color w:val="auto"/>
          <w:kern w:val="2"/>
          <w:sz w:val="32"/>
          <w:szCs w:val="32"/>
          <w:lang w:val="en-US" w:eastAsia="zh-CN" w:bidi="ar-SA"/>
        </w:rPr>
        <w:t>≥8小时，实际完成8小时，完成率100%，偏差率0%；</w:t>
      </w:r>
      <w:r>
        <w:rPr>
          <w:rFonts w:hint="default" w:ascii="Times New Roman" w:hAnsi="Times New Roman" w:eastAsia="仿宋_GB2312" w:cs="Times New Roman"/>
          <w:color w:val="auto"/>
          <w:kern w:val="2"/>
          <w:sz w:val="32"/>
          <w:szCs w:val="32"/>
          <w:lang w:val="en-US" w:eastAsia="zh-CN" w:bidi="ar-SA"/>
        </w:rPr>
        <w:t>。</w:t>
      </w:r>
    </w:p>
    <w:p w14:paraId="2EC39584">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（2）质量指标</w:t>
      </w:r>
    </w:p>
    <w:p w14:paraId="6B7E25EC">
      <w:pPr>
        <w:keepNext w:val="0"/>
        <w:keepLines w:val="0"/>
        <w:pageBreakBefore w:val="0"/>
        <w:widowControl w:val="0"/>
        <w:tabs>
          <w:tab w:val="left" w:pos="0"/>
        </w:tabs>
        <w:kinsoku/>
        <w:wordWrap/>
        <w:overflowPunct/>
        <w:topLinePunct w:val="0"/>
        <w:bidi w:val="0"/>
        <w:spacing w:line="560" w:lineRule="exact"/>
        <w:ind w:firstLine="643" w:firstLineChars="200"/>
        <w:textAlignment w:val="auto"/>
        <w:rPr>
          <w:rFonts w:hint="default" w:ascii="Times New Roman" w:hAnsi="Times New Roman" w:eastAsia="仿宋_GB2312" w:cs="Times New Roman"/>
          <w:b/>
          <w:bCs/>
          <w:color w:val="000000"/>
          <w:kern w:val="2"/>
          <w:sz w:val="32"/>
          <w:szCs w:val="32"/>
          <w:lang w:val="en-US" w:eastAsia="zh-CN" w:bidi="ar-SA"/>
        </w:rPr>
      </w:pPr>
      <w:r>
        <w:rPr>
          <w:rFonts w:hint="default" w:ascii="Times New Roman" w:hAnsi="Times New Roman" w:eastAsia="仿宋_GB2312" w:cs="Times New Roman"/>
          <w:b/>
          <w:bCs/>
          <w:color w:val="000000"/>
          <w:kern w:val="2"/>
          <w:sz w:val="32"/>
          <w:szCs w:val="32"/>
          <w:lang w:val="en-US" w:eastAsia="zh-CN" w:bidi="ar-SA"/>
        </w:rPr>
        <w:t>2025年公共体育场馆向社会免费或低收费开放补助资金</w:t>
      </w:r>
      <w:r>
        <w:rPr>
          <w:rFonts w:hint="default" w:ascii="Times New Roman" w:hAnsi="Times New Roman" w:cs="Times New Roman"/>
          <w:b/>
          <w:bCs/>
          <w:color w:val="000000"/>
          <w:kern w:val="2"/>
          <w:sz w:val="32"/>
          <w:szCs w:val="32"/>
          <w:lang w:val="en-US" w:eastAsia="zh-CN" w:bidi="ar-SA"/>
        </w:rPr>
        <w:t>：</w:t>
      </w:r>
    </w:p>
    <w:p w14:paraId="17C0CF4C">
      <w:pPr>
        <w:keepNext w:val="0"/>
        <w:keepLines w:val="0"/>
        <w:pageBreakBefore w:val="0"/>
        <w:widowControl w:val="0"/>
        <w:tabs>
          <w:tab w:val="left" w:pos="0"/>
        </w:tabs>
        <w:kinsoku/>
        <w:wordWrap/>
        <w:overflowPunct/>
        <w:topLinePunct w:val="0"/>
        <w:bidi w:val="0"/>
        <w:spacing w:line="560" w:lineRule="exact"/>
        <w:ind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cs="Times New Roman"/>
          <w:color w:val="000000"/>
          <w:kern w:val="2"/>
          <w:sz w:val="32"/>
          <w:szCs w:val="32"/>
          <w:lang w:val="en-US" w:eastAsia="zh-CN" w:bidi="ar-SA"/>
        </w:rPr>
        <w:t>a.服务质量达到《公共体育场馆基本公共服务规范》标准，</w:t>
      </w:r>
      <w:r>
        <w:rPr>
          <w:rFonts w:hint="default" w:ascii="Times New Roman" w:hAnsi="Times New Roman" w:eastAsia="仿宋_GB2312" w:cs="Times New Roman"/>
          <w:color w:val="000000"/>
          <w:kern w:val="2"/>
          <w:sz w:val="32"/>
          <w:szCs w:val="32"/>
          <w:lang w:val="en-US" w:eastAsia="zh-CN" w:bidi="ar-SA"/>
        </w:rPr>
        <w:t>指标值为</w:t>
      </w:r>
      <w:r>
        <w:rPr>
          <w:rFonts w:hint="default" w:ascii="Times New Roman" w:hAnsi="Times New Roman" w:cs="Times New Roman"/>
          <w:color w:val="000000"/>
          <w:kern w:val="2"/>
          <w:sz w:val="32"/>
          <w:szCs w:val="32"/>
          <w:lang w:val="en-US" w:eastAsia="zh-CN" w:bidi="ar-SA"/>
        </w:rPr>
        <w:t>≥95%，</w:t>
      </w:r>
      <w:r>
        <w:rPr>
          <w:rFonts w:hint="default" w:ascii="Times New Roman" w:hAnsi="Times New Roman" w:eastAsia="仿宋_GB2312" w:cs="Times New Roman"/>
          <w:color w:val="000000"/>
          <w:kern w:val="2"/>
          <w:sz w:val="32"/>
          <w:szCs w:val="32"/>
          <w:lang w:val="en-US" w:eastAsia="zh-CN" w:bidi="ar-SA"/>
        </w:rPr>
        <w:t>实际完成</w:t>
      </w:r>
      <w:r>
        <w:rPr>
          <w:rFonts w:hint="default" w:ascii="Times New Roman" w:hAnsi="Times New Roman" w:cs="Times New Roman"/>
          <w:color w:val="000000"/>
          <w:kern w:val="2"/>
          <w:sz w:val="32"/>
          <w:szCs w:val="32"/>
          <w:lang w:val="en-US" w:eastAsia="zh-CN" w:bidi="ar-SA"/>
        </w:rPr>
        <w:t>97%，完成率100%，</w:t>
      </w:r>
      <w:r>
        <w:rPr>
          <w:rFonts w:hint="default" w:ascii="Times New Roman" w:hAnsi="Times New Roman" w:eastAsia="仿宋_GB2312" w:cs="Times New Roman"/>
          <w:color w:val="000000"/>
          <w:kern w:val="2"/>
          <w:sz w:val="32"/>
          <w:szCs w:val="32"/>
          <w:lang w:val="en-US" w:eastAsia="zh-CN" w:bidi="ar-SA"/>
        </w:rPr>
        <w:t>偏差率</w:t>
      </w:r>
      <w:r>
        <w:rPr>
          <w:rFonts w:hint="default" w:ascii="Times New Roman" w:hAnsi="Times New Roman" w:cs="Times New Roman"/>
          <w:color w:val="000000"/>
          <w:kern w:val="2"/>
          <w:sz w:val="32"/>
          <w:szCs w:val="32"/>
          <w:lang w:val="en-US" w:eastAsia="zh-CN" w:bidi="ar-SA"/>
        </w:rPr>
        <w:t>0</w:t>
      </w:r>
      <w:r>
        <w:rPr>
          <w:rFonts w:hint="default" w:ascii="Times New Roman" w:hAnsi="Times New Roman" w:eastAsia="仿宋_GB2312" w:cs="Times New Roman"/>
          <w:color w:val="000000"/>
          <w:kern w:val="2"/>
          <w:sz w:val="32"/>
          <w:szCs w:val="32"/>
          <w:lang w:val="en-US" w:eastAsia="zh-CN" w:bidi="ar-SA"/>
        </w:rPr>
        <w:t>%</w:t>
      </w:r>
      <w:r>
        <w:rPr>
          <w:rFonts w:hint="default" w:ascii="Times New Roman" w:hAnsi="Times New Roman" w:cs="Times New Roman"/>
          <w:color w:val="000000"/>
          <w:kern w:val="2"/>
          <w:sz w:val="32"/>
          <w:szCs w:val="32"/>
          <w:lang w:val="en-US" w:eastAsia="zh-CN" w:bidi="ar-SA"/>
        </w:rPr>
        <w:t>。</w:t>
      </w:r>
    </w:p>
    <w:p w14:paraId="6F4EBAE4">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时效指标</w:t>
      </w:r>
    </w:p>
    <w:p w14:paraId="4BF1FAB1">
      <w:pPr>
        <w:keepNext w:val="0"/>
        <w:keepLines w:val="0"/>
        <w:pageBreakBefore w:val="0"/>
        <w:widowControl w:val="0"/>
        <w:numPr>
          <w:ilvl w:val="0"/>
          <w:numId w:val="0"/>
        </w:numPr>
        <w:kinsoku/>
        <w:wordWrap/>
        <w:overflowPunct/>
        <w:topLinePunct w:val="0"/>
        <w:bidi w:val="0"/>
        <w:spacing w:line="560" w:lineRule="exact"/>
        <w:ind w:left="318" w:leftChars="106" w:firstLine="321" w:firstLineChars="100"/>
        <w:textAlignment w:val="auto"/>
        <w:rPr>
          <w:rFonts w:hint="default" w:ascii="Times New Roman" w:hAnsi="Times New Roman" w:eastAsia="仿宋_GB2312" w:cs="Times New Roman"/>
          <w:b/>
          <w:bCs/>
          <w:color w:val="000000"/>
          <w:kern w:val="2"/>
          <w:sz w:val="32"/>
          <w:szCs w:val="32"/>
          <w:lang w:val="en-US" w:eastAsia="zh-CN" w:bidi="ar-SA"/>
        </w:rPr>
      </w:pPr>
      <w:r>
        <w:rPr>
          <w:rFonts w:hint="default" w:ascii="Times New Roman" w:hAnsi="Times New Roman" w:eastAsia="仿宋_GB2312" w:cs="Times New Roman"/>
          <w:b/>
          <w:bCs/>
          <w:color w:val="000000"/>
          <w:kern w:val="2"/>
          <w:sz w:val="32"/>
          <w:szCs w:val="32"/>
          <w:lang w:val="en-US" w:eastAsia="zh-CN" w:bidi="ar-SA"/>
        </w:rPr>
        <w:t>2025年公共体育场馆向社会免费或低收费开放补助资金</w:t>
      </w:r>
      <w:r>
        <w:rPr>
          <w:rFonts w:hint="default" w:ascii="Times New Roman" w:hAnsi="Times New Roman" w:cs="Times New Roman"/>
          <w:b/>
          <w:bCs/>
          <w:color w:val="000000"/>
          <w:kern w:val="2"/>
          <w:sz w:val="32"/>
          <w:szCs w:val="32"/>
          <w:lang w:val="en-US" w:eastAsia="zh-CN" w:bidi="ar-SA"/>
        </w:rPr>
        <w:t>：</w:t>
      </w:r>
    </w:p>
    <w:p w14:paraId="75E97718">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default" w:ascii="Times New Roman" w:hAnsi="Times New Roman" w:cs="Times New Roman"/>
          <w:color w:val="000000"/>
          <w:kern w:val="2"/>
          <w:sz w:val="32"/>
          <w:szCs w:val="32"/>
          <w:lang w:val="en-US" w:eastAsia="zh-CN" w:bidi="ar-SA"/>
        </w:rPr>
      </w:pPr>
      <w:r>
        <w:rPr>
          <w:rFonts w:hint="default" w:ascii="Times New Roman" w:hAnsi="Times New Roman" w:cs="Times New Roman"/>
          <w:color w:val="000000"/>
          <w:kern w:val="2"/>
          <w:sz w:val="32"/>
          <w:szCs w:val="32"/>
          <w:lang w:val="en-US" w:eastAsia="zh-CN" w:bidi="ar-SA"/>
        </w:rPr>
        <w:t>公共体育场馆免费或低收费开放完成时间，</w:t>
      </w:r>
      <w:r>
        <w:rPr>
          <w:rFonts w:hint="default" w:ascii="Times New Roman" w:hAnsi="Times New Roman" w:eastAsia="仿宋_GB2312" w:cs="Times New Roman"/>
          <w:color w:val="000000"/>
          <w:kern w:val="2"/>
          <w:sz w:val="32"/>
          <w:szCs w:val="32"/>
          <w:lang w:val="en-US" w:eastAsia="zh-CN" w:bidi="ar-SA"/>
        </w:rPr>
        <w:t>指标值为</w:t>
      </w:r>
      <w:r>
        <w:rPr>
          <w:rFonts w:hint="default" w:ascii="Times New Roman" w:hAnsi="Times New Roman" w:cs="Times New Roman"/>
          <w:color w:val="000000"/>
          <w:kern w:val="2"/>
          <w:sz w:val="32"/>
          <w:szCs w:val="32"/>
          <w:lang w:val="en-US" w:eastAsia="zh-CN" w:bidi="ar-SA"/>
        </w:rPr>
        <w:t>2025年12月31日，</w:t>
      </w:r>
      <w:r>
        <w:rPr>
          <w:rFonts w:hint="default" w:ascii="Times New Roman" w:hAnsi="Times New Roman" w:eastAsia="仿宋_GB2312" w:cs="Times New Roman"/>
          <w:color w:val="000000"/>
          <w:kern w:val="2"/>
          <w:sz w:val="32"/>
          <w:szCs w:val="32"/>
          <w:lang w:val="en-US" w:eastAsia="zh-CN" w:bidi="ar-SA"/>
        </w:rPr>
        <w:t>实际完成</w:t>
      </w:r>
      <w:r>
        <w:rPr>
          <w:rFonts w:hint="default" w:ascii="Times New Roman" w:hAnsi="Times New Roman" w:cs="Times New Roman"/>
          <w:color w:val="000000"/>
          <w:kern w:val="2"/>
          <w:sz w:val="32"/>
          <w:szCs w:val="32"/>
          <w:lang w:val="en-US" w:eastAsia="zh-CN" w:bidi="ar-SA"/>
        </w:rPr>
        <w:t>2025年12月31日，完成率100%，</w:t>
      </w:r>
      <w:r>
        <w:rPr>
          <w:rFonts w:hint="default" w:ascii="Times New Roman" w:hAnsi="Times New Roman" w:eastAsia="仿宋_GB2312" w:cs="Times New Roman"/>
          <w:color w:val="000000"/>
          <w:kern w:val="2"/>
          <w:sz w:val="32"/>
          <w:szCs w:val="32"/>
          <w:lang w:val="en-US" w:eastAsia="zh-CN" w:bidi="ar-SA"/>
        </w:rPr>
        <w:t>偏差率</w:t>
      </w:r>
      <w:r>
        <w:rPr>
          <w:rFonts w:hint="default" w:ascii="Times New Roman" w:hAnsi="Times New Roman" w:cs="Times New Roman"/>
          <w:color w:val="000000"/>
          <w:kern w:val="2"/>
          <w:sz w:val="32"/>
          <w:szCs w:val="32"/>
          <w:lang w:val="en-US" w:eastAsia="zh-CN" w:bidi="ar-SA"/>
        </w:rPr>
        <w:t>0</w:t>
      </w:r>
      <w:r>
        <w:rPr>
          <w:rFonts w:hint="default" w:ascii="Times New Roman" w:hAnsi="Times New Roman" w:eastAsia="仿宋_GB2312" w:cs="Times New Roman"/>
          <w:color w:val="000000"/>
          <w:kern w:val="2"/>
          <w:sz w:val="32"/>
          <w:szCs w:val="32"/>
          <w:lang w:val="en-US" w:eastAsia="zh-CN" w:bidi="ar-SA"/>
        </w:rPr>
        <w:t>%</w:t>
      </w:r>
      <w:r>
        <w:rPr>
          <w:rFonts w:hint="default" w:ascii="Times New Roman" w:hAnsi="Times New Roman" w:cs="Times New Roman"/>
          <w:color w:val="000000"/>
          <w:kern w:val="2"/>
          <w:sz w:val="32"/>
          <w:szCs w:val="32"/>
          <w:lang w:val="en-US" w:eastAsia="zh-CN" w:bidi="ar-SA"/>
        </w:rPr>
        <w:t>。</w:t>
      </w:r>
    </w:p>
    <w:p w14:paraId="5B4E9E53">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default" w:ascii="Times New Roman" w:hAnsi="Times New Roman"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（4）</w:t>
      </w:r>
      <w:r>
        <w:rPr>
          <w:rFonts w:hint="default" w:ascii="Times New Roman" w:hAnsi="Times New Roman" w:cs="Times New Roman"/>
          <w:color w:val="000000"/>
          <w:kern w:val="2"/>
          <w:sz w:val="32"/>
          <w:szCs w:val="32"/>
          <w:lang w:val="en-US" w:eastAsia="zh-CN" w:bidi="ar-SA"/>
        </w:rPr>
        <w:t>成本指标</w:t>
      </w:r>
    </w:p>
    <w:p w14:paraId="5988317F">
      <w:pPr>
        <w:keepNext w:val="0"/>
        <w:keepLines w:val="0"/>
        <w:pageBreakBefore w:val="0"/>
        <w:widowControl w:val="0"/>
        <w:numPr>
          <w:ilvl w:val="0"/>
          <w:numId w:val="0"/>
        </w:numPr>
        <w:kinsoku/>
        <w:wordWrap/>
        <w:overflowPunct/>
        <w:topLinePunct w:val="0"/>
        <w:bidi w:val="0"/>
        <w:spacing w:line="560" w:lineRule="exact"/>
        <w:ind w:firstLine="643" w:firstLineChars="200"/>
        <w:textAlignment w:val="auto"/>
        <w:rPr>
          <w:rFonts w:hint="default" w:ascii="Times New Roman" w:hAnsi="Times New Roman" w:cs="Times New Roman"/>
          <w:color w:val="000000"/>
          <w:kern w:val="2"/>
          <w:sz w:val="32"/>
          <w:szCs w:val="32"/>
          <w:lang w:val="en-US" w:eastAsia="zh-CN" w:bidi="ar-SA"/>
        </w:rPr>
      </w:pPr>
      <w:r>
        <w:rPr>
          <w:rFonts w:hint="default" w:ascii="Times New Roman" w:hAnsi="Times New Roman" w:eastAsia="仿宋_GB2312" w:cs="Times New Roman"/>
          <w:b/>
          <w:bCs/>
          <w:color w:val="000000"/>
          <w:kern w:val="2"/>
          <w:sz w:val="32"/>
          <w:szCs w:val="32"/>
          <w:lang w:val="en-US" w:eastAsia="zh-CN" w:bidi="ar-SA"/>
        </w:rPr>
        <w:t>2025年公共体育场馆向社会免费或低收费开放补助资金</w:t>
      </w:r>
      <w:r>
        <w:rPr>
          <w:rFonts w:hint="default" w:ascii="Times New Roman" w:hAnsi="Times New Roman" w:cs="Times New Roman"/>
          <w:color w:val="000000"/>
          <w:kern w:val="2"/>
          <w:sz w:val="32"/>
          <w:szCs w:val="32"/>
          <w:lang w:val="en-US" w:eastAsia="zh-CN" w:bidi="ar-SA"/>
        </w:rPr>
        <w:t>未设置成本指标；</w:t>
      </w:r>
    </w:p>
    <w:p w14:paraId="23314623">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2.效益指标完成情况分析</w:t>
      </w:r>
    </w:p>
    <w:p w14:paraId="08E31835">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cs="Times New Roman"/>
          <w:sz w:val="32"/>
          <w:szCs w:val="32"/>
          <w:lang w:val="en-US"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w:t>
      </w:r>
      <w:r>
        <w:rPr>
          <w:rFonts w:hint="default" w:ascii="Times New Roman" w:hAnsi="Times New Roman" w:cs="Times New Roman"/>
          <w:sz w:val="32"/>
          <w:szCs w:val="32"/>
          <w:lang w:val="en-US" w:eastAsia="zh-CN"/>
        </w:rPr>
        <w:t>经济效益指标</w:t>
      </w:r>
    </w:p>
    <w:p w14:paraId="742FCB67">
      <w:pPr>
        <w:keepNext w:val="0"/>
        <w:keepLines w:val="0"/>
        <w:pageBreakBefore w:val="0"/>
        <w:widowControl w:val="0"/>
        <w:numPr>
          <w:ilvl w:val="0"/>
          <w:numId w:val="0"/>
        </w:numPr>
        <w:kinsoku/>
        <w:wordWrap/>
        <w:overflowPunct/>
        <w:topLinePunct w:val="0"/>
        <w:bidi w:val="0"/>
        <w:spacing w:line="560" w:lineRule="exact"/>
        <w:ind w:firstLine="643" w:firstLineChars="200"/>
        <w:textAlignment w:val="auto"/>
        <w:rPr>
          <w:rFonts w:hint="default" w:ascii="Times New Roman" w:hAnsi="Times New Roman" w:cs="Times New Roman"/>
          <w:color w:val="000000"/>
          <w:kern w:val="2"/>
          <w:sz w:val="32"/>
          <w:szCs w:val="32"/>
          <w:lang w:val="en-US" w:eastAsia="zh-CN" w:bidi="ar-SA"/>
        </w:rPr>
      </w:pPr>
      <w:r>
        <w:rPr>
          <w:rFonts w:hint="default" w:ascii="Times New Roman" w:hAnsi="Times New Roman" w:eastAsia="仿宋_GB2312" w:cs="Times New Roman"/>
          <w:b/>
          <w:bCs/>
          <w:color w:val="000000"/>
          <w:kern w:val="2"/>
          <w:sz w:val="32"/>
          <w:szCs w:val="32"/>
          <w:lang w:val="en-US" w:eastAsia="zh-CN" w:bidi="ar-SA"/>
        </w:rPr>
        <w:t>2025年公共体育场馆向社会免费或低收费开放补助资金</w:t>
      </w:r>
      <w:r>
        <w:rPr>
          <w:rFonts w:hint="default" w:ascii="Times New Roman" w:hAnsi="Times New Roman" w:cs="Times New Roman"/>
          <w:color w:val="000000"/>
          <w:kern w:val="2"/>
          <w:sz w:val="32"/>
          <w:szCs w:val="32"/>
          <w:lang w:val="en-US" w:eastAsia="zh-CN" w:bidi="ar-SA"/>
        </w:rPr>
        <w:t>未设置经济效益指标。</w:t>
      </w:r>
    </w:p>
    <w:p w14:paraId="40AA2DFF">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社会效益</w:t>
      </w:r>
      <w:r>
        <w:rPr>
          <w:rFonts w:hint="default" w:ascii="Times New Roman" w:hAnsi="Times New Roman" w:eastAsia="仿宋_GB2312" w:cs="Times New Roman"/>
          <w:color w:val="auto"/>
          <w:sz w:val="32"/>
          <w:szCs w:val="32"/>
          <w:highlight w:val="none"/>
          <w:lang w:eastAsia="zh-CN"/>
        </w:rPr>
        <w:t>指标</w:t>
      </w:r>
    </w:p>
    <w:p w14:paraId="0A3F10C4">
      <w:pPr>
        <w:keepNext w:val="0"/>
        <w:keepLines w:val="0"/>
        <w:pageBreakBefore w:val="0"/>
        <w:widowControl w:val="0"/>
        <w:numPr>
          <w:ilvl w:val="0"/>
          <w:numId w:val="0"/>
        </w:numPr>
        <w:kinsoku/>
        <w:wordWrap/>
        <w:overflowPunct/>
        <w:topLinePunct w:val="0"/>
        <w:bidi w:val="0"/>
        <w:spacing w:line="560" w:lineRule="exact"/>
        <w:ind w:firstLine="643" w:firstLineChars="200"/>
        <w:textAlignment w:val="auto"/>
        <w:rPr>
          <w:rFonts w:hint="default" w:ascii="Times New Roman" w:hAnsi="Times New Roman" w:eastAsia="仿宋_GB2312" w:cs="Times New Roman"/>
          <w:b/>
          <w:bCs/>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2025年公共体育场馆向社会免费或低收费开放补助资金</w:t>
      </w:r>
      <w:r>
        <w:rPr>
          <w:rFonts w:hint="default" w:ascii="Times New Roman" w:hAnsi="Times New Roman" w:cs="Times New Roman"/>
          <w:b/>
          <w:bCs/>
          <w:color w:val="auto"/>
          <w:kern w:val="2"/>
          <w:sz w:val="32"/>
          <w:szCs w:val="32"/>
          <w:highlight w:val="none"/>
          <w:lang w:val="en-US" w:eastAsia="zh-CN" w:bidi="ar-SA"/>
        </w:rPr>
        <w:t>：</w:t>
      </w:r>
    </w:p>
    <w:p w14:paraId="281A9575">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default" w:ascii="Times New Roman" w:hAnsi="Times New Roman" w:cs="Times New Roman"/>
          <w:color w:val="auto"/>
          <w:kern w:val="2"/>
          <w:sz w:val="32"/>
          <w:szCs w:val="32"/>
          <w:highlight w:val="none"/>
          <w:lang w:val="en-US" w:eastAsia="zh-CN" w:bidi="ar-SA"/>
        </w:rPr>
      </w:pPr>
      <w:r>
        <w:rPr>
          <w:rFonts w:hint="default" w:ascii="Times New Roman" w:hAnsi="Times New Roman" w:cs="Times New Roman"/>
          <w:color w:val="auto"/>
          <w:kern w:val="2"/>
          <w:sz w:val="32"/>
          <w:szCs w:val="32"/>
          <w:highlight w:val="none"/>
          <w:lang w:val="en-US" w:eastAsia="zh-CN" w:bidi="ar-SA"/>
        </w:rPr>
        <w:t>a.场馆所属户外公共区域及户外健身器材全年免费开放，</w:t>
      </w:r>
      <w:r>
        <w:rPr>
          <w:rFonts w:hint="default" w:ascii="Times New Roman" w:hAnsi="Times New Roman" w:eastAsia="仿宋_GB2312" w:cs="Times New Roman"/>
          <w:color w:val="auto"/>
          <w:kern w:val="2"/>
          <w:sz w:val="32"/>
          <w:szCs w:val="32"/>
          <w:highlight w:val="none"/>
          <w:lang w:val="en-US" w:eastAsia="zh-CN" w:bidi="ar-SA"/>
        </w:rPr>
        <w:t>指标值为</w:t>
      </w:r>
      <w:r>
        <w:rPr>
          <w:rFonts w:hint="default" w:ascii="Times New Roman" w:hAnsi="Times New Roman" w:cs="Times New Roman"/>
          <w:color w:val="auto"/>
          <w:kern w:val="2"/>
          <w:sz w:val="32"/>
          <w:szCs w:val="32"/>
          <w:highlight w:val="none"/>
          <w:lang w:val="en-US" w:eastAsia="zh-CN" w:bidi="ar-SA"/>
        </w:rPr>
        <w:t>100%，</w:t>
      </w:r>
      <w:r>
        <w:rPr>
          <w:rFonts w:hint="default" w:ascii="Times New Roman" w:hAnsi="Times New Roman" w:eastAsia="仿宋_GB2312" w:cs="Times New Roman"/>
          <w:color w:val="auto"/>
          <w:kern w:val="2"/>
          <w:sz w:val="32"/>
          <w:szCs w:val="32"/>
          <w:highlight w:val="none"/>
          <w:lang w:val="en-US" w:eastAsia="zh-CN" w:bidi="ar-SA"/>
        </w:rPr>
        <w:t>实际完成</w:t>
      </w:r>
      <w:r>
        <w:rPr>
          <w:rFonts w:hint="default" w:ascii="Times New Roman" w:hAnsi="Times New Roman" w:cs="Times New Roman"/>
          <w:color w:val="auto"/>
          <w:kern w:val="2"/>
          <w:sz w:val="32"/>
          <w:szCs w:val="32"/>
          <w:highlight w:val="none"/>
          <w:lang w:val="en-US" w:eastAsia="zh-CN" w:bidi="ar-SA"/>
        </w:rPr>
        <w:t>100%，完成率100%，</w:t>
      </w:r>
      <w:r>
        <w:rPr>
          <w:rFonts w:hint="default" w:ascii="Times New Roman" w:hAnsi="Times New Roman" w:eastAsia="仿宋_GB2312" w:cs="Times New Roman"/>
          <w:color w:val="auto"/>
          <w:kern w:val="2"/>
          <w:sz w:val="32"/>
          <w:szCs w:val="32"/>
          <w:highlight w:val="none"/>
          <w:lang w:val="en-US" w:eastAsia="zh-CN" w:bidi="ar-SA"/>
        </w:rPr>
        <w:t>偏差率</w:t>
      </w:r>
      <w:r>
        <w:rPr>
          <w:rFonts w:hint="default" w:ascii="Times New Roman" w:hAnsi="Times New Roman" w:cs="Times New Roman"/>
          <w:color w:val="auto"/>
          <w:kern w:val="2"/>
          <w:sz w:val="32"/>
          <w:szCs w:val="32"/>
          <w:highlight w:val="none"/>
          <w:lang w:val="en-US" w:eastAsia="zh-CN" w:bidi="ar-SA"/>
        </w:rPr>
        <w:t>0</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cs="Times New Roman"/>
          <w:color w:val="auto"/>
          <w:kern w:val="2"/>
          <w:sz w:val="32"/>
          <w:szCs w:val="32"/>
          <w:highlight w:val="none"/>
          <w:lang w:val="en-US" w:eastAsia="zh-CN" w:bidi="ar-SA"/>
        </w:rPr>
        <w:t>；</w:t>
      </w:r>
    </w:p>
    <w:p w14:paraId="30806C77">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default" w:ascii="Times New Roman" w:hAnsi="Times New Roman" w:cs="Times New Roman"/>
          <w:color w:val="auto"/>
          <w:kern w:val="2"/>
          <w:sz w:val="32"/>
          <w:szCs w:val="32"/>
          <w:highlight w:val="none"/>
          <w:lang w:val="en-US" w:eastAsia="zh-CN" w:bidi="ar-SA"/>
        </w:rPr>
      </w:pPr>
      <w:r>
        <w:rPr>
          <w:rFonts w:hint="default" w:ascii="Times New Roman" w:hAnsi="Times New Roman" w:cs="Times New Roman"/>
          <w:color w:val="auto"/>
          <w:kern w:val="2"/>
          <w:sz w:val="32"/>
          <w:szCs w:val="32"/>
          <w:highlight w:val="none"/>
          <w:lang w:val="en-US" w:eastAsia="zh-CN" w:bidi="ar-SA"/>
        </w:rPr>
        <w:t>b.全民健身日全面免费开放，</w:t>
      </w:r>
      <w:r>
        <w:rPr>
          <w:rFonts w:hint="default" w:ascii="Times New Roman" w:hAnsi="Times New Roman" w:eastAsia="仿宋_GB2312" w:cs="Times New Roman"/>
          <w:color w:val="auto"/>
          <w:kern w:val="2"/>
          <w:sz w:val="32"/>
          <w:szCs w:val="32"/>
          <w:highlight w:val="none"/>
          <w:lang w:val="en-US" w:eastAsia="zh-CN" w:bidi="ar-SA"/>
        </w:rPr>
        <w:t>指标值为</w:t>
      </w:r>
      <w:r>
        <w:rPr>
          <w:rFonts w:hint="default" w:ascii="Times New Roman" w:hAnsi="Times New Roman" w:cs="Times New Roman"/>
          <w:color w:val="auto"/>
          <w:kern w:val="2"/>
          <w:sz w:val="32"/>
          <w:szCs w:val="32"/>
          <w:highlight w:val="none"/>
          <w:lang w:val="en-US" w:eastAsia="zh-CN" w:bidi="ar-SA"/>
        </w:rPr>
        <w:t>100%，</w:t>
      </w:r>
      <w:r>
        <w:rPr>
          <w:rFonts w:hint="default" w:ascii="Times New Roman" w:hAnsi="Times New Roman" w:eastAsia="仿宋_GB2312" w:cs="Times New Roman"/>
          <w:color w:val="auto"/>
          <w:kern w:val="2"/>
          <w:sz w:val="32"/>
          <w:szCs w:val="32"/>
          <w:highlight w:val="none"/>
          <w:lang w:val="en-US" w:eastAsia="zh-CN" w:bidi="ar-SA"/>
        </w:rPr>
        <w:t>实际完成</w:t>
      </w:r>
      <w:r>
        <w:rPr>
          <w:rFonts w:hint="default" w:ascii="Times New Roman" w:hAnsi="Times New Roman" w:cs="Times New Roman"/>
          <w:color w:val="auto"/>
          <w:kern w:val="2"/>
          <w:sz w:val="32"/>
          <w:szCs w:val="32"/>
          <w:highlight w:val="none"/>
          <w:lang w:val="en-US" w:eastAsia="zh-CN" w:bidi="ar-SA"/>
        </w:rPr>
        <w:t>100%，完成率100%，</w:t>
      </w:r>
      <w:r>
        <w:rPr>
          <w:rFonts w:hint="default" w:ascii="Times New Roman" w:hAnsi="Times New Roman" w:eastAsia="仿宋_GB2312" w:cs="Times New Roman"/>
          <w:color w:val="auto"/>
          <w:kern w:val="2"/>
          <w:sz w:val="32"/>
          <w:szCs w:val="32"/>
          <w:highlight w:val="none"/>
          <w:lang w:val="en-US" w:eastAsia="zh-CN" w:bidi="ar-SA"/>
        </w:rPr>
        <w:t>偏差率</w:t>
      </w:r>
      <w:r>
        <w:rPr>
          <w:rFonts w:hint="default" w:ascii="Times New Roman" w:hAnsi="Times New Roman" w:cs="Times New Roman"/>
          <w:color w:val="auto"/>
          <w:kern w:val="2"/>
          <w:sz w:val="32"/>
          <w:szCs w:val="32"/>
          <w:highlight w:val="none"/>
          <w:lang w:val="en-US" w:eastAsia="zh-CN" w:bidi="ar-SA"/>
        </w:rPr>
        <w:t>0</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cs="Times New Roman"/>
          <w:color w:val="auto"/>
          <w:kern w:val="2"/>
          <w:sz w:val="32"/>
          <w:szCs w:val="32"/>
          <w:highlight w:val="none"/>
          <w:lang w:val="en-US" w:eastAsia="zh-CN" w:bidi="ar-SA"/>
        </w:rPr>
        <w:t>。</w:t>
      </w:r>
    </w:p>
    <w:p w14:paraId="1198A0F7">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cs="Times New Roman"/>
          <w:sz w:val="32"/>
          <w:szCs w:val="32"/>
          <w:lang w:val="en-US" w:eastAsia="zh-CN"/>
        </w:rPr>
      </w:pPr>
      <w:r>
        <w:rPr>
          <w:rFonts w:hint="default" w:ascii="Times New Roman" w:hAnsi="Times New Roman" w:eastAsia="仿宋_GB2312" w:cs="Times New Roman"/>
          <w:sz w:val="32"/>
          <w:szCs w:val="32"/>
          <w:lang w:eastAsia="zh-CN"/>
        </w:rPr>
        <w:t>（</w:t>
      </w:r>
      <w:r>
        <w:rPr>
          <w:rFonts w:hint="eastAsia" w:cs="Times New Roman"/>
          <w:sz w:val="32"/>
          <w:szCs w:val="32"/>
          <w:lang w:val="en-US" w:eastAsia="zh-CN"/>
        </w:rPr>
        <w:t>3</w:t>
      </w:r>
      <w:r>
        <w:rPr>
          <w:rFonts w:hint="default" w:ascii="Times New Roman" w:hAnsi="Times New Roman" w:eastAsia="仿宋_GB2312" w:cs="Times New Roman"/>
          <w:sz w:val="32"/>
          <w:szCs w:val="32"/>
          <w:lang w:eastAsia="zh-CN"/>
        </w:rPr>
        <w:t>）</w:t>
      </w:r>
      <w:r>
        <w:rPr>
          <w:rFonts w:hint="eastAsia" w:cs="Times New Roman"/>
          <w:sz w:val="32"/>
          <w:szCs w:val="32"/>
          <w:lang w:val="en-US" w:eastAsia="zh-CN"/>
        </w:rPr>
        <w:t>生态</w:t>
      </w:r>
      <w:r>
        <w:rPr>
          <w:rFonts w:hint="default" w:ascii="Times New Roman" w:hAnsi="Times New Roman" w:cs="Times New Roman"/>
          <w:sz w:val="32"/>
          <w:szCs w:val="32"/>
          <w:lang w:val="en-US" w:eastAsia="zh-CN"/>
        </w:rPr>
        <w:t>效益指标</w:t>
      </w:r>
    </w:p>
    <w:p w14:paraId="30C7F307">
      <w:pPr>
        <w:keepNext w:val="0"/>
        <w:keepLines w:val="0"/>
        <w:pageBreakBefore w:val="0"/>
        <w:widowControl w:val="0"/>
        <w:numPr>
          <w:ilvl w:val="0"/>
          <w:numId w:val="0"/>
        </w:numPr>
        <w:kinsoku/>
        <w:wordWrap/>
        <w:overflowPunct/>
        <w:topLinePunct w:val="0"/>
        <w:bidi w:val="0"/>
        <w:spacing w:line="560" w:lineRule="exact"/>
        <w:ind w:firstLine="643" w:firstLineChars="200"/>
        <w:textAlignment w:val="auto"/>
        <w:rPr>
          <w:rFonts w:hint="default" w:ascii="Times New Roman" w:hAnsi="Times New Roman" w:cs="Times New Roman"/>
          <w:color w:val="000000"/>
          <w:kern w:val="2"/>
          <w:sz w:val="32"/>
          <w:szCs w:val="32"/>
          <w:lang w:val="en-US" w:eastAsia="zh-CN" w:bidi="ar-SA"/>
        </w:rPr>
      </w:pPr>
      <w:r>
        <w:rPr>
          <w:rFonts w:hint="default" w:ascii="Times New Roman" w:hAnsi="Times New Roman" w:eastAsia="仿宋_GB2312" w:cs="Times New Roman"/>
          <w:b/>
          <w:bCs/>
          <w:color w:val="000000"/>
          <w:kern w:val="2"/>
          <w:sz w:val="32"/>
          <w:szCs w:val="32"/>
          <w:lang w:val="en-US" w:eastAsia="zh-CN" w:bidi="ar-SA"/>
        </w:rPr>
        <w:t>2025年公共体育场馆向社会免费或低收费开放补助资金</w:t>
      </w:r>
      <w:r>
        <w:rPr>
          <w:rFonts w:hint="default" w:ascii="Times New Roman" w:hAnsi="Times New Roman" w:cs="Times New Roman"/>
          <w:color w:val="000000"/>
          <w:kern w:val="2"/>
          <w:sz w:val="32"/>
          <w:szCs w:val="32"/>
          <w:lang w:val="en-US" w:eastAsia="zh-CN" w:bidi="ar-SA"/>
        </w:rPr>
        <w:t>未设置</w:t>
      </w:r>
      <w:r>
        <w:rPr>
          <w:rFonts w:hint="eastAsia" w:cs="Times New Roman"/>
          <w:color w:val="000000"/>
          <w:kern w:val="2"/>
          <w:sz w:val="32"/>
          <w:szCs w:val="32"/>
          <w:lang w:val="en-US" w:eastAsia="zh-CN" w:bidi="ar-SA"/>
        </w:rPr>
        <w:t>生态</w:t>
      </w:r>
      <w:r>
        <w:rPr>
          <w:rFonts w:hint="default" w:ascii="Times New Roman" w:hAnsi="Times New Roman" w:cs="Times New Roman"/>
          <w:color w:val="000000"/>
          <w:kern w:val="2"/>
          <w:sz w:val="32"/>
          <w:szCs w:val="32"/>
          <w:lang w:val="en-US" w:eastAsia="zh-CN" w:bidi="ar-SA"/>
        </w:rPr>
        <w:t>效益指标。</w:t>
      </w:r>
    </w:p>
    <w:p w14:paraId="5A914C6E">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cs="Times New Roman"/>
          <w:sz w:val="32"/>
          <w:szCs w:val="32"/>
          <w:lang w:val="en-US" w:eastAsia="zh-CN"/>
        </w:rPr>
      </w:pPr>
      <w:r>
        <w:rPr>
          <w:rFonts w:hint="default" w:ascii="Times New Roman" w:hAnsi="Times New Roman" w:eastAsia="仿宋_GB2312" w:cs="Times New Roman"/>
          <w:sz w:val="32"/>
          <w:szCs w:val="32"/>
          <w:lang w:eastAsia="zh-CN"/>
        </w:rPr>
        <w:t>（</w:t>
      </w:r>
      <w:r>
        <w:rPr>
          <w:rFonts w:hint="eastAsia" w:cs="Times New Roman"/>
          <w:sz w:val="32"/>
          <w:szCs w:val="32"/>
          <w:lang w:val="en-US" w:eastAsia="zh-CN"/>
        </w:rPr>
        <w:t>4</w:t>
      </w:r>
      <w:r>
        <w:rPr>
          <w:rFonts w:hint="default" w:ascii="Times New Roman" w:hAnsi="Times New Roman" w:eastAsia="仿宋_GB2312" w:cs="Times New Roman"/>
          <w:sz w:val="32"/>
          <w:szCs w:val="32"/>
          <w:lang w:eastAsia="zh-CN"/>
        </w:rPr>
        <w:t>）</w:t>
      </w:r>
      <w:r>
        <w:rPr>
          <w:rFonts w:hint="eastAsia" w:cs="Times New Roman"/>
          <w:sz w:val="32"/>
          <w:szCs w:val="32"/>
          <w:lang w:val="en-US" w:eastAsia="zh-CN"/>
        </w:rPr>
        <w:t>可持续影响指标</w:t>
      </w:r>
    </w:p>
    <w:p w14:paraId="16F0DE9E">
      <w:pPr>
        <w:keepNext w:val="0"/>
        <w:keepLines w:val="0"/>
        <w:pageBreakBefore w:val="0"/>
        <w:widowControl w:val="0"/>
        <w:numPr>
          <w:ilvl w:val="0"/>
          <w:numId w:val="0"/>
        </w:numPr>
        <w:kinsoku/>
        <w:wordWrap/>
        <w:overflowPunct/>
        <w:topLinePunct w:val="0"/>
        <w:bidi w:val="0"/>
        <w:spacing w:line="560" w:lineRule="exact"/>
        <w:ind w:firstLine="643" w:firstLineChars="200"/>
        <w:textAlignment w:val="auto"/>
        <w:rPr>
          <w:rFonts w:hint="default" w:ascii="Times New Roman" w:hAnsi="Times New Roman" w:cs="Times New Roman"/>
          <w:color w:val="000000"/>
          <w:kern w:val="2"/>
          <w:sz w:val="32"/>
          <w:szCs w:val="32"/>
          <w:lang w:val="en-US" w:eastAsia="zh-CN" w:bidi="ar-SA"/>
        </w:rPr>
      </w:pPr>
      <w:r>
        <w:rPr>
          <w:rFonts w:hint="default" w:ascii="Times New Roman" w:hAnsi="Times New Roman" w:eastAsia="仿宋_GB2312" w:cs="Times New Roman"/>
          <w:b/>
          <w:bCs/>
          <w:color w:val="000000"/>
          <w:kern w:val="2"/>
          <w:sz w:val="32"/>
          <w:szCs w:val="32"/>
          <w:lang w:val="en-US" w:eastAsia="zh-CN" w:bidi="ar-SA"/>
        </w:rPr>
        <w:t>2025年公共体育场馆向社会免费或低收费开放补助资金</w:t>
      </w:r>
      <w:r>
        <w:rPr>
          <w:rFonts w:hint="default" w:ascii="Times New Roman" w:hAnsi="Times New Roman" w:cs="Times New Roman"/>
          <w:color w:val="000000"/>
          <w:kern w:val="2"/>
          <w:sz w:val="32"/>
          <w:szCs w:val="32"/>
          <w:lang w:val="en-US" w:eastAsia="zh-CN" w:bidi="ar-SA"/>
        </w:rPr>
        <w:t>未设置</w:t>
      </w:r>
      <w:r>
        <w:rPr>
          <w:rFonts w:hint="eastAsia" w:cs="Times New Roman"/>
          <w:sz w:val="32"/>
          <w:szCs w:val="32"/>
          <w:lang w:val="en-US" w:eastAsia="zh-CN"/>
        </w:rPr>
        <w:t>可持续影响指标</w:t>
      </w:r>
      <w:r>
        <w:rPr>
          <w:rFonts w:hint="default" w:ascii="Times New Roman" w:hAnsi="Times New Roman" w:cs="Times New Roman"/>
          <w:color w:val="000000"/>
          <w:kern w:val="2"/>
          <w:sz w:val="32"/>
          <w:szCs w:val="32"/>
          <w:lang w:val="en-US" w:eastAsia="zh-CN" w:bidi="ar-SA"/>
        </w:rPr>
        <w:t>。</w:t>
      </w:r>
    </w:p>
    <w:p w14:paraId="413D1539">
      <w:pPr>
        <w:keepNext w:val="0"/>
        <w:keepLines w:val="0"/>
        <w:pageBreakBefore w:val="0"/>
        <w:widowControl w:val="0"/>
        <w:kinsoku/>
        <w:wordWrap/>
        <w:overflowPunct/>
        <w:topLinePunct w:val="0"/>
        <w:bidi w:val="0"/>
        <w:spacing w:line="560" w:lineRule="exact"/>
        <w:ind w:firstLine="645"/>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3.满意度指标完成情况分析</w:t>
      </w:r>
    </w:p>
    <w:p w14:paraId="0A5248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（1）服务对象满意度指标</w:t>
      </w:r>
    </w:p>
    <w:p w14:paraId="6D1B060E">
      <w:pPr>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2025年公共体育场馆向社会免费或低收费开放补助资金</w:t>
      </w:r>
      <w:r>
        <w:rPr>
          <w:rFonts w:hint="default" w:ascii="Times New Roman" w:hAnsi="Times New Roman" w:cs="Times New Roman"/>
          <w:color w:val="auto"/>
          <w:kern w:val="2"/>
          <w:sz w:val="32"/>
          <w:szCs w:val="32"/>
          <w:highlight w:val="none"/>
          <w:lang w:val="en-US" w:eastAsia="zh-CN" w:bidi="ar-SA"/>
        </w:rPr>
        <w:t>：</w:t>
      </w:r>
    </w:p>
    <w:p w14:paraId="2E312D7F">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cs="Times New Roman"/>
          <w:color w:val="auto"/>
          <w:kern w:val="2"/>
          <w:sz w:val="32"/>
          <w:szCs w:val="32"/>
          <w:highlight w:val="none"/>
          <w:lang w:val="en-US" w:eastAsia="zh-CN" w:bidi="ar-SA"/>
        </w:rPr>
      </w:pPr>
      <w:r>
        <w:rPr>
          <w:rFonts w:hint="default" w:ascii="Times New Roman" w:hAnsi="Times New Roman" w:cs="Times New Roman"/>
          <w:color w:val="auto"/>
          <w:kern w:val="2"/>
          <w:sz w:val="32"/>
          <w:szCs w:val="32"/>
          <w:highlight w:val="none"/>
          <w:lang w:val="en-US" w:eastAsia="zh-CN" w:bidi="ar-SA"/>
        </w:rPr>
        <w:t>群众满意度，</w:t>
      </w:r>
      <w:r>
        <w:rPr>
          <w:rFonts w:hint="default" w:ascii="Times New Roman" w:hAnsi="Times New Roman" w:eastAsia="仿宋_GB2312" w:cs="Times New Roman"/>
          <w:color w:val="auto"/>
          <w:kern w:val="2"/>
          <w:sz w:val="32"/>
          <w:szCs w:val="32"/>
          <w:highlight w:val="none"/>
          <w:lang w:val="en-US" w:eastAsia="zh-CN" w:bidi="ar-SA"/>
        </w:rPr>
        <w:t>指标值为</w:t>
      </w:r>
      <w:r>
        <w:rPr>
          <w:rFonts w:hint="default" w:ascii="Times New Roman" w:hAnsi="Times New Roman" w:cs="Times New Roman"/>
          <w:color w:val="auto"/>
          <w:kern w:val="2"/>
          <w:sz w:val="32"/>
          <w:szCs w:val="32"/>
          <w:highlight w:val="none"/>
          <w:lang w:val="en-US" w:eastAsia="zh-CN" w:bidi="ar-SA"/>
        </w:rPr>
        <w:t>≥90%，</w:t>
      </w:r>
      <w:r>
        <w:rPr>
          <w:rFonts w:hint="default" w:ascii="Times New Roman" w:hAnsi="Times New Roman" w:eastAsia="仿宋_GB2312" w:cs="Times New Roman"/>
          <w:color w:val="auto"/>
          <w:kern w:val="2"/>
          <w:sz w:val="32"/>
          <w:szCs w:val="32"/>
          <w:highlight w:val="none"/>
          <w:lang w:val="en-US" w:eastAsia="zh-CN" w:bidi="ar-SA"/>
        </w:rPr>
        <w:t>实际完成</w:t>
      </w:r>
      <w:r>
        <w:rPr>
          <w:rFonts w:hint="default" w:ascii="Times New Roman" w:hAnsi="Times New Roman" w:cs="Times New Roman"/>
          <w:color w:val="auto"/>
          <w:kern w:val="2"/>
          <w:sz w:val="32"/>
          <w:szCs w:val="32"/>
          <w:highlight w:val="none"/>
          <w:lang w:val="en-US" w:eastAsia="zh-CN" w:bidi="ar-SA"/>
        </w:rPr>
        <w:t>93.75%，完成率100%，</w:t>
      </w:r>
      <w:r>
        <w:rPr>
          <w:rFonts w:hint="default" w:ascii="Times New Roman" w:hAnsi="Times New Roman" w:eastAsia="仿宋_GB2312" w:cs="Times New Roman"/>
          <w:color w:val="auto"/>
          <w:kern w:val="2"/>
          <w:sz w:val="32"/>
          <w:szCs w:val="32"/>
          <w:highlight w:val="none"/>
          <w:lang w:val="en-US" w:eastAsia="zh-CN" w:bidi="ar-SA"/>
        </w:rPr>
        <w:t>偏差率</w:t>
      </w:r>
      <w:r>
        <w:rPr>
          <w:rFonts w:hint="default" w:ascii="Times New Roman" w:hAnsi="Times New Roman" w:cs="Times New Roman"/>
          <w:color w:val="auto"/>
          <w:kern w:val="2"/>
          <w:sz w:val="32"/>
          <w:szCs w:val="32"/>
          <w:highlight w:val="none"/>
          <w:lang w:val="en-US" w:eastAsia="zh-CN" w:bidi="ar-SA"/>
        </w:rPr>
        <w:t>0</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cs="Times New Roman"/>
          <w:color w:val="auto"/>
          <w:kern w:val="2"/>
          <w:sz w:val="32"/>
          <w:szCs w:val="32"/>
          <w:highlight w:val="none"/>
          <w:lang w:val="en-US" w:eastAsia="zh-CN" w:bidi="ar-SA"/>
        </w:rPr>
        <w:t>。</w:t>
      </w:r>
    </w:p>
    <w:p w14:paraId="76B68000">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黑体" w:cs="Times New Roman"/>
          <w:bCs/>
          <w:sz w:val="32"/>
          <w:szCs w:val="32"/>
        </w:rPr>
      </w:pPr>
      <w:r>
        <w:rPr>
          <w:rFonts w:hint="eastAsia" w:eastAsia="黑体" w:cs="Times New Roman"/>
          <w:bCs/>
          <w:sz w:val="32"/>
          <w:szCs w:val="32"/>
          <w:lang w:eastAsia="zh-CN"/>
        </w:rPr>
        <w:t>四</w:t>
      </w:r>
      <w:r>
        <w:rPr>
          <w:rFonts w:hint="default" w:ascii="Times New Roman" w:hAnsi="Times New Roman" w:eastAsia="黑体" w:cs="Times New Roman"/>
          <w:bCs/>
          <w:sz w:val="32"/>
          <w:szCs w:val="32"/>
        </w:rPr>
        <w:t>、偏离绩效目标的原因和下一步改进措施</w:t>
      </w:r>
    </w:p>
    <w:p w14:paraId="55247CC6">
      <w:pPr>
        <w:keepNext w:val="0"/>
        <w:keepLines w:val="0"/>
        <w:pageBreakBefore w:val="0"/>
        <w:widowControl w:val="0"/>
        <w:kinsoku/>
        <w:wordWrap/>
        <w:overflowPunct/>
        <w:topLinePunct w:val="0"/>
        <w:bidi w:val="0"/>
        <w:spacing w:line="560" w:lineRule="exact"/>
        <w:ind w:firstLine="643" w:firstLineChars="20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color w:val="000000"/>
          <w:sz w:val="32"/>
          <w:szCs w:val="32"/>
          <w:highlight w:val="none"/>
        </w:rPr>
        <w:t>1.偏离的绩效目标</w:t>
      </w:r>
    </w:p>
    <w:p w14:paraId="2CDE549C">
      <w:pPr>
        <w:pStyle w:val="4"/>
        <w:keepNext w:val="0"/>
        <w:keepLines w:val="0"/>
        <w:pageBreakBefore w:val="0"/>
        <w:widowControl w:val="0"/>
        <w:kinsoku/>
        <w:wordWrap/>
        <w:overflowPunct/>
        <w:topLinePunct w:val="0"/>
        <w:bidi w:val="0"/>
        <w:spacing w:line="560" w:lineRule="exact"/>
        <w:ind w:firstLine="640"/>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default" w:ascii="Times New Roman" w:hAnsi="Times New Roman" w:eastAsia="仿宋_GB2312" w:cs="Times New Roman"/>
          <w:b/>
          <w:bCs/>
          <w:color w:val="000000"/>
          <w:kern w:val="2"/>
          <w:sz w:val="32"/>
          <w:szCs w:val="32"/>
          <w:highlight w:val="none"/>
          <w:lang w:val="en-US" w:eastAsia="zh-CN" w:bidi="ar-SA"/>
        </w:rPr>
        <w:t>2025年公共体育场馆向社会免费或低收费开放补助资金：</w:t>
      </w:r>
      <w:r>
        <w:rPr>
          <w:rFonts w:hint="default" w:ascii="Times New Roman" w:hAnsi="Times New Roman" w:eastAsia="仿宋_GB2312" w:cs="Times New Roman"/>
          <w:color w:val="000000"/>
          <w:kern w:val="2"/>
          <w:sz w:val="32"/>
          <w:szCs w:val="32"/>
          <w:highlight w:val="none"/>
          <w:lang w:val="en-US" w:eastAsia="zh-CN" w:bidi="ar-SA"/>
        </w:rPr>
        <w:t>年底财政扎帐，个别场馆第四季度能源费用未及时报销。</w:t>
      </w:r>
    </w:p>
    <w:p w14:paraId="6EFBA692">
      <w:pPr>
        <w:pStyle w:val="4"/>
        <w:keepNext w:val="0"/>
        <w:keepLines w:val="0"/>
        <w:pageBreakBefore w:val="0"/>
        <w:widowControl w:val="0"/>
        <w:numPr>
          <w:ilvl w:val="0"/>
          <w:numId w:val="0"/>
        </w:numPr>
        <w:kinsoku/>
        <w:wordWrap/>
        <w:overflowPunct/>
        <w:topLinePunct w:val="0"/>
        <w:bidi w:val="0"/>
        <w:spacing w:line="560" w:lineRule="exact"/>
        <w:ind w:firstLine="640" w:firstLineChars="0"/>
        <w:textAlignment w:val="auto"/>
        <w:rPr>
          <w:rFonts w:hint="default" w:ascii="Times New Roman" w:hAnsi="Times New Roman" w:eastAsia="仿宋_GB2312" w:cs="Times New Roman"/>
          <w:b/>
          <w:bCs/>
          <w:color w:val="000000"/>
          <w:kern w:val="2"/>
          <w:sz w:val="32"/>
          <w:szCs w:val="32"/>
          <w:lang w:val="en-US" w:eastAsia="zh-CN" w:bidi="ar-SA"/>
        </w:rPr>
      </w:pPr>
      <w:r>
        <w:rPr>
          <w:rFonts w:hint="default" w:ascii="Times New Roman" w:hAnsi="Times New Roman" w:eastAsia="仿宋_GB2312" w:cs="Times New Roman"/>
          <w:b/>
          <w:bCs/>
          <w:color w:val="000000"/>
          <w:kern w:val="2"/>
          <w:sz w:val="32"/>
          <w:szCs w:val="32"/>
          <w:lang w:val="en-US" w:eastAsia="zh-CN" w:bidi="ar-SA"/>
        </w:rPr>
        <w:t>2.下一步改进措施</w:t>
      </w:r>
    </w:p>
    <w:p w14:paraId="4DD3BAFB">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cs="Times New Roman"/>
          <w:sz w:val="32"/>
          <w:szCs w:val="32"/>
          <w:lang w:eastAsia="zh-CN"/>
        </w:rPr>
        <w:t>自治区体育局</w:t>
      </w:r>
      <w:r>
        <w:rPr>
          <w:rFonts w:hint="default" w:ascii="Times New Roman" w:hAnsi="Times New Roman" w:eastAsia="仿宋_GB2312" w:cs="Times New Roman"/>
          <w:sz w:val="32"/>
          <w:szCs w:val="32"/>
        </w:rPr>
        <w:t>将通过实地调研指导、下发整改通知等方案，指导相关县市加快项目建设</w:t>
      </w:r>
      <w:r>
        <w:rPr>
          <w:rFonts w:hint="default" w:ascii="Times New Roman" w:hAnsi="Times New Roman" w:cs="Times New Roman"/>
          <w:sz w:val="32"/>
          <w:szCs w:val="32"/>
          <w:lang w:eastAsia="zh-CN"/>
        </w:rPr>
        <w:t>，督促加快资金执行，财政资金早日发挥效益</w:t>
      </w:r>
      <w:r>
        <w:rPr>
          <w:rFonts w:hint="default" w:ascii="Times New Roman" w:hAnsi="Times New Roman" w:eastAsia="仿宋_GB2312" w:cs="Times New Roman"/>
          <w:spacing w:val="-6"/>
          <w:sz w:val="32"/>
          <w:szCs w:val="32"/>
          <w:lang w:eastAsia="zh-CN"/>
        </w:rPr>
        <w:t>。</w:t>
      </w:r>
    </w:p>
    <w:p w14:paraId="072A43B0">
      <w:pPr>
        <w:pStyle w:val="13"/>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黑体" w:cs="Times New Roman"/>
          <w:bCs/>
          <w:color w:val="auto"/>
          <w:sz w:val="32"/>
          <w:szCs w:val="32"/>
          <w:lang w:eastAsia="zh-CN"/>
        </w:rPr>
      </w:pPr>
      <w:r>
        <w:rPr>
          <w:rFonts w:hint="eastAsia" w:ascii="Times New Roman" w:eastAsia="黑体" w:cs="Times New Roman"/>
          <w:bCs/>
          <w:color w:val="auto"/>
          <w:sz w:val="32"/>
          <w:szCs w:val="32"/>
          <w:lang w:eastAsia="zh-CN"/>
        </w:rPr>
        <w:t>五</w:t>
      </w:r>
      <w:r>
        <w:rPr>
          <w:rFonts w:hint="default" w:ascii="Times New Roman" w:hAnsi="Times New Roman" w:eastAsia="黑体" w:cs="Times New Roman"/>
          <w:bCs/>
          <w:color w:val="auto"/>
          <w:sz w:val="32"/>
          <w:szCs w:val="32"/>
        </w:rPr>
        <w:t>、绩效自评结果拟应用</w:t>
      </w:r>
      <w:r>
        <w:rPr>
          <w:rFonts w:hint="default" w:ascii="Times New Roman" w:hAnsi="Times New Roman" w:eastAsia="黑体" w:cs="Times New Roman"/>
          <w:bCs/>
          <w:color w:val="auto"/>
          <w:sz w:val="32"/>
          <w:szCs w:val="32"/>
          <w:lang w:eastAsia="zh-CN"/>
        </w:rPr>
        <w:t>和公开情况</w:t>
      </w:r>
    </w:p>
    <w:p w14:paraId="6BA014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60" w:lineRule="exact"/>
        <w:ind w:left="0" w:right="0" w:firstLine="640" w:firstLineChars="200"/>
        <w:jc w:val="both"/>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自治区体育局已于2025年3月26日将2024年度中央支持地方公共文化服务体系建设补助资金转移支付绩效自评报告通过我局官方网站公开，广泛接受社会监督（公开网址链接：http://tyj.xinjiang.gov.cn/xjtyj/c112506/202503/4639cdbe670241a3a8cb9667f5369a78.shtml）。</w:t>
      </w:r>
    </w:p>
    <w:p w14:paraId="4BCD6EFE">
      <w:pPr>
        <w:keepNext w:val="0"/>
        <w:keepLines w:val="0"/>
        <w:pageBreakBefore w:val="0"/>
        <w:widowControl w:val="0"/>
        <w:kinsoku/>
        <w:wordWrap/>
        <w:overflowPunct/>
        <w:topLinePunct w:val="0"/>
        <w:bidi w:val="0"/>
        <w:spacing w:line="560" w:lineRule="exact"/>
        <w:ind w:firstLine="640" w:firstLineChars="200"/>
        <w:textAlignment w:val="auto"/>
        <w:rPr>
          <w:rFonts w:hint="eastAsia" w:cs="Times New Roman"/>
          <w:color w:val="auto"/>
          <w:kern w:val="2"/>
          <w:sz w:val="32"/>
          <w:szCs w:val="32"/>
          <w:lang w:val="en-US" w:eastAsia="zh-CN" w:bidi="ar-SA"/>
        </w:rPr>
      </w:pPr>
    </w:p>
    <w:p w14:paraId="5872CD4C">
      <w:pPr>
        <w:keepNext w:val="0"/>
        <w:keepLines w:val="0"/>
        <w:pageBreakBefore w:val="0"/>
        <w:widowControl w:val="0"/>
        <w:kinsoku/>
        <w:wordWrap/>
        <w:overflowPunct/>
        <w:topLinePunct w:val="0"/>
        <w:bidi w:val="0"/>
        <w:spacing w:line="560" w:lineRule="exact"/>
        <w:ind w:firstLine="640" w:firstLineChars="200"/>
        <w:textAlignment w:val="auto"/>
        <w:rPr>
          <w:rFonts w:hint="eastAsia" w:cs="Times New Roman"/>
          <w:color w:val="auto"/>
          <w:kern w:val="2"/>
          <w:sz w:val="32"/>
          <w:szCs w:val="32"/>
          <w:lang w:val="en-US" w:eastAsia="zh-CN" w:bidi="ar-SA"/>
        </w:rPr>
      </w:pPr>
    </w:p>
    <w:p w14:paraId="416D2B10">
      <w:pPr>
        <w:keepNext w:val="0"/>
        <w:keepLines w:val="0"/>
        <w:pageBreakBefore w:val="0"/>
        <w:widowControl w:val="0"/>
        <w:kinsoku/>
        <w:wordWrap/>
        <w:overflowPunct/>
        <w:topLinePunct w:val="0"/>
        <w:bidi w:val="0"/>
        <w:spacing w:line="560" w:lineRule="exact"/>
        <w:ind w:firstLine="640" w:firstLineChars="200"/>
        <w:textAlignment w:val="auto"/>
        <w:rPr>
          <w:rFonts w:hint="eastAsia" w:cs="Times New Roman"/>
          <w:color w:val="auto"/>
          <w:kern w:val="2"/>
          <w:sz w:val="32"/>
          <w:szCs w:val="32"/>
          <w:lang w:val="en-US" w:eastAsia="zh-CN" w:bidi="ar-SA"/>
        </w:rPr>
      </w:pPr>
    </w:p>
    <w:p w14:paraId="45EB1940">
      <w:pPr>
        <w:keepNext w:val="0"/>
        <w:keepLines w:val="0"/>
        <w:pageBreakBefore w:val="0"/>
        <w:widowControl w:val="0"/>
        <w:kinsoku/>
        <w:wordWrap/>
        <w:overflowPunct/>
        <w:topLinePunct w:val="0"/>
        <w:bidi w:val="0"/>
        <w:spacing w:line="560" w:lineRule="exact"/>
        <w:ind w:firstLine="640" w:firstLineChars="200"/>
        <w:textAlignment w:val="auto"/>
        <w:rPr>
          <w:rFonts w:hint="eastAsia" w:cs="Times New Roman"/>
          <w:color w:val="auto"/>
          <w:kern w:val="2"/>
          <w:sz w:val="32"/>
          <w:szCs w:val="32"/>
          <w:lang w:val="en-US" w:eastAsia="zh-CN" w:bidi="ar-SA"/>
        </w:rPr>
      </w:pPr>
    </w:p>
    <w:p w14:paraId="2EC351A2">
      <w:pPr>
        <w:keepNext w:val="0"/>
        <w:keepLines w:val="0"/>
        <w:pageBreakBefore w:val="0"/>
        <w:widowControl w:val="0"/>
        <w:kinsoku/>
        <w:wordWrap/>
        <w:overflowPunct/>
        <w:topLinePunct w:val="0"/>
        <w:bidi w:val="0"/>
        <w:spacing w:line="560" w:lineRule="exact"/>
        <w:ind w:firstLine="640" w:firstLineChars="200"/>
        <w:textAlignment w:val="auto"/>
        <w:rPr>
          <w:rFonts w:hint="eastAsia" w:cs="Times New Roman"/>
          <w:color w:val="auto"/>
          <w:kern w:val="2"/>
          <w:sz w:val="32"/>
          <w:szCs w:val="32"/>
          <w:lang w:val="en-US" w:eastAsia="zh-CN" w:bidi="ar-SA"/>
        </w:rPr>
      </w:pPr>
    </w:p>
    <w:p w14:paraId="4747BA7A">
      <w:pPr>
        <w:keepNext w:val="0"/>
        <w:keepLines w:val="0"/>
        <w:pageBreakBefore w:val="0"/>
        <w:widowControl w:val="0"/>
        <w:kinsoku/>
        <w:wordWrap/>
        <w:overflowPunct/>
        <w:topLinePunct w:val="0"/>
        <w:bidi w:val="0"/>
        <w:spacing w:line="560" w:lineRule="exact"/>
        <w:ind w:firstLine="640" w:firstLineChars="200"/>
        <w:textAlignment w:val="auto"/>
        <w:rPr>
          <w:rFonts w:hint="eastAsia" w:cs="Times New Roman"/>
          <w:color w:val="auto"/>
          <w:kern w:val="2"/>
          <w:sz w:val="32"/>
          <w:szCs w:val="32"/>
          <w:lang w:val="en-US" w:eastAsia="zh-CN" w:bidi="ar-SA"/>
        </w:rPr>
      </w:pPr>
    </w:p>
    <w:p w14:paraId="65711048">
      <w:pPr>
        <w:rPr>
          <w:rFonts w:hint="eastAsia" w:ascii="方正小标宋_GBK" w:hAnsi="方正小标宋_GBK" w:eastAsia="方正小标宋_GBK" w:cs="方正小标宋_GBK"/>
          <w:i w:val="0"/>
          <w:iCs w:val="0"/>
          <w:color w:val="000000"/>
          <w:kern w:val="0"/>
          <w:sz w:val="32"/>
          <w:szCs w:val="32"/>
          <w:u w:val="none"/>
          <w:lang w:val="en-US" w:eastAsia="zh-CN" w:bidi="ar"/>
        </w:rPr>
      </w:pPr>
      <w:r>
        <w:rPr>
          <w:rFonts w:hint="eastAsia" w:ascii="方正小标宋_GBK" w:hAnsi="方正小标宋_GBK" w:eastAsia="方正小标宋_GBK" w:cs="方正小标宋_GBK"/>
          <w:i w:val="0"/>
          <w:iCs w:val="0"/>
          <w:color w:val="000000"/>
          <w:kern w:val="0"/>
          <w:sz w:val="32"/>
          <w:szCs w:val="32"/>
          <w:u w:val="none"/>
          <w:lang w:val="en-US" w:eastAsia="zh-CN" w:bidi="ar"/>
        </w:rPr>
        <w:br w:type="page"/>
      </w:r>
    </w:p>
    <w:tbl>
      <w:tblPr>
        <w:tblStyle w:val="6"/>
        <w:tblW w:w="51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7"/>
        <w:gridCol w:w="527"/>
        <w:gridCol w:w="738"/>
        <w:gridCol w:w="1178"/>
        <w:gridCol w:w="480"/>
        <w:gridCol w:w="660"/>
        <w:gridCol w:w="1155"/>
        <w:gridCol w:w="1020"/>
        <w:gridCol w:w="675"/>
        <w:gridCol w:w="330"/>
        <w:gridCol w:w="748"/>
        <w:gridCol w:w="1381"/>
      </w:tblGrid>
      <w:tr w14:paraId="2E514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000" w:type="pct"/>
            <w:gridSpan w:val="12"/>
            <w:tcBorders>
              <w:top w:val="nil"/>
              <w:left w:val="nil"/>
              <w:bottom w:val="nil"/>
              <w:right w:val="nil"/>
            </w:tcBorders>
            <w:shd w:val="clear" w:color="auto" w:fill="auto"/>
            <w:vAlign w:val="center"/>
          </w:tcPr>
          <w:p w14:paraId="1C66D498">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32"/>
                <w:szCs w:val="32"/>
                <w:u w:val="none"/>
              </w:rPr>
            </w:pPr>
            <w:r>
              <w:rPr>
                <w:rFonts w:hint="eastAsia" w:ascii="方正小标宋_GBK" w:hAnsi="方正小标宋_GBK" w:eastAsia="方正小标宋_GBK" w:cs="方正小标宋_GBK"/>
                <w:i w:val="0"/>
                <w:iCs w:val="0"/>
                <w:color w:val="000000"/>
                <w:kern w:val="0"/>
                <w:sz w:val="32"/>
                <w:szCs w:val="32"/>
                <w:u w:val="none"/>
                <w:lang w:val="en-US" w:eastAsia="zh-CN" w:bidi="ar"/>
              </w:rPr>
              <w:t>2025年度中央支持地方公共文化服务体系建设专项资金转移支付项目绩效目标自评表</w:t>
            </w:r>
          </w:p>
        </w:tc>
      </w:tr>
      <w:tr w14:paraId="43A4E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12"/>
            <w:tcBorders>
              <w:top w:val="nil"/>
              <w:left w:val="nil"/>
              <w:bottom w:val="nil"/>
              <w:right w:val="nil"/>
            </w:tcBorders>
            <w:shd w:val="clear" w:color="auto" w:fill="auto"/>
            <w:vAlign w:val="center"/>
          </w:tcPr>
          <w:p w14:paraId="6B5E52D5">
            <w:pPr>
              <w:keepNext w:val="0"/>
              <w:keepLines w:val="0"/>
              <w:widowControl/>
              <w:suppressLineNumbers w:val="0"/>
              <w:jc w:val="center"/>
              <w:textAlignment w:val="center"/>
              <w:rPr>
                <w:rFonts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(2025</w:t>
            </w:r>
            <w:r>
              <w:rPr>
                <w:rStyle w:val="14"/>
                <w:lang w:val="en-US" w:eastAsia="zh-CN" w:bidi="ar"/>
              </w:rPr>
              <w:t>年度</w:t>
            </w:r>
            <w:r>
              <w:rPr>
                <w:rFonts w:hint="default" w:ascii="Arial" w:hAnsi="Arial" w:eastAsia="宋体" w:cs="Arial"/>
                <w:i w:val="0"/>
                <w:iCs w:val="0"/>
                <w:color w:val="000000"/>
                <w:kern w:val="0"/>
                <w:sz w:val="22"/>
                <w:szCs w:val="22"/>
                <w:u w:val="none"/>
                <w:lang w:val="en-US" w:eastAsia="zh-CN" w:bidi="ar"/>
              </w:rPr>
              <w:t>)</w:t>
            </w:r>
          </w:p>
        </w:tc>
      </w:tr>
      <w:tr w14:paraId="6829E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5" w:hRule="atLeast"/>
        </w:trPr>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3A4D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转移支付(项目)名称</w:t>
            </w:r>
          </w:p>
        </w:tc>
        <w:tc>
          <w:tcPr>
            <w:tcW w:w="404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71D00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2025年公共体育场馆向社会免费或低收费开放补助资金</w:t>
            </w:r>
          </w:p>
        </w:tc>
      </w:tr>
      <w:tr w14:paraId="2903A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2723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中央主管部门</w:t>
            </w:r>
          </w:p>
        </w:tc>
        <w:tc>
          <w:tcPr>
            <w:tcW w:w="12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8721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国家体育总局</w:t>
            </w:r>
          </w:p>
        </w:tc>
        <w:tc>
          <w:tcPr>
            <w:tcW w:w="11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DF06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地方财政部门</w:t>
            </w:r>
          </w:p>
        </w:tc>
        <w:tc>
          <w:tcPr>
            <w:tcW w:w="16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18FC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新疆维吾尔自治区财政厅</w:t>
            </w:r>
          </w:p>
        </w:tc>
      </w:tr>
      <w:tr w14:paraId="1D921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7E9A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地方主管部门</w:t>
            </w:r>
          </w:p>
        </w:tc>
        <w:tc>
          <w:tcPr>
            <w:tcW w:w="1230" w:type="pct"/>
            <w:gridSpan w:val="3"/>
            <w:tcBorders>
              <w:top w:val="single" w:color="000000" w:sz="4" w:space="0"/>
              <w:left w:val="single" w:color="000000" w:sz="4" w:space="0"/>
              <w:bottom w:val="nil"/>
              <w:right w:val="single" w:color="000000" w:sz="4" w:space="0"/>
            </w:tcBorders>
            <w:shd w:val="clear" w:color="auto" w:fill="auto"/>
            <w:vAlign w:val="center"/>
          </w:tcPr>
          <w:p w14:paraId="21EE31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新疆维吾尔自治区体育局</w:t>
            </w:r>
          </w:p>
        </w:tc>
        <w:tc>
          <w:tcPr>
            <w:tcW w:w="11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AB0C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资金使用单位</w:t>
            </w:r>
          </w:p>
        </w:tc>
        <w:tc>
          <w:tcPr>
            <w:tcW w:w="16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BC21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新疆维吾尔自治区107个公共体育场馆</w:t>
            </w:r>
          </w:p>
        </w:tc>
      </w:tr>
      <w:tr w14:paraId="1C313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05C1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资金投入情况(万元)</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F68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全年预算数(A)</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0982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全年执行数(B)</w:t>
            </w:r>
          </w:p>
        </w:tc>
        <w:tc>
          <w:tcPr>
            <w:tcW w:w="11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B13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预算执行率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(B/A×100%)</w:t>
            </w:r>
          </w:p>
        </w:tc>
        <w:tc>
          <w:tcPr>
            <w:tcW w:w="358" w:type="pct"/>
            <w:tcBorders>
              <w:top w:val="nil"/>
              <w:left w:val="single" w:color="000000" w:sz="4" w:space="0"/>
              <w:bottom w:val="single" w:color="000000" w:sz="4" w:space="0"/>
              <w:right w:val="single" w:color="000000" w:sz="4" w:space="0"/>
            </w:tcBorders>
            <w:shd w:val="clear" w:color="auto" w:fill="auto"/>
            <w:vAlign w:val="center"/>
          </w:tcPr>
          <w:p w14:paraId="08FB4C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572" w:type="pct"/>
            <w:gridSpan w:val="2"/>
            <w:tcBorders>
              <w:top w:val="nil"/>
              <w:left w:val="single" w:color="000000" w:sz="4" w:space="0"/>
              <w:bottom w:val="single" w:color="000000" w:sz="4" w:space="0"/>
              <w:right w:val="single" w:color="000000" w:sz="4" w:space="0"/>
            </w:tcBorders>
            <w:shd w:val="clear" w:color="auto" w:fill="auto"/>
            <w:vAlign w:val="center"/>
          </w:tcPr>
          <w:p w14:paraId="1C0274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w:t>
            </w:r>
          </w:p>
        </w:tc>
        <w:tc>
          <w:tcPr>
            <w:tcW w:w="733" w:type="pct"/>
            <w:tcBorders>
              <w:top w:val="nil"/>
              <w:left w:val="single" w:color="000000" w:sz="4" w:space="0"/>
              <w:bottom w:val="single" w:color="000000" w:sz="4" w:space="0"/>
              <w:right w:val="single" w:color="000000" w:sz="4" w:space="0"/>
            </w:tcBorders>
            <w:shd w:val="clear" w:color="auto" w:fill="auto"/>
            <w:vAlign w:val="center"/>
          </w:tcPr>
          <w:p w14:paraId="541A78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未完成原因和改进措施</w:t>
            </w:r>
          </w:p>
        </w:tc>
      </w:tr>
      <w:tr w14:paraId="2B4FE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47C9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年度资金总额：</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D11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3889</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BA4C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3702.10 </w:t>
            </w:r>
          </w:p>
        </w:tc>
        <w:tc>
          <w:tcPr>
            <w:tcW w:w="1154" w:type="pct"/>
            <w:gridSpan w:val="2"/>
            <w:tcBorders>
              <w:top w:val="nil"/>
              <w:left w:val="single" w:color="000000" w:sz="4" w:space="0"/>
              <w:bottom w:val="single" w:color="000000" w:sz="4" w:space="0"/>
              <w:right w:val="single" w:color="000000" w:sz="4" w:space="0"/>
            </w:tcBorders>
            <w:shd w:val="clear" w:color="auto" w:fill="auto"/>
            <w:vAlign w:val="center"/>
          </w:tcPr>
          <w:p w14:paraId="34C9BA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95.19%</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214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82C9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9.51</w:t>
            </w:r>
          </w:p>
        </w:tc>
        <w:tc>
          <w:tcPr>
            <w:tcW w:w="7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6A65A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未完成原因：年底财政扎帐，个别场馆第四季度能源费用未及时报销；</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改进措施：通过实地调研指导、下发整改通知等方案，指导相关县市加快项目建设，督促加快资金执行，确保项目早日完工，财政资金早日发挥效益。</w:t>
            </w:r>
          </w:p>
        </w:tc>
      </w:tr>
      <w:tr w14:paraId="34A13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C8BC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其中：中央财政资金</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AE3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3281</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0ECD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3135.85</w:t>
            </w:r>
          </w:p>
        </w:tc>
        <w:tc>
          <w:tcPr>
            <w:tcW w:w="1154" w:type="pct"/>
            <w:gridSpan w:val="2"/>
            <w:tcBorders>
              <w:top w:val="nil"/>
              <w:left w:val="single" w:color="000000" w:sz="4" w:space="0"/>
              <w:bottom w:val="single" w:color="000000" w:sz="4" w:space="0"/>
              <w:right w:val="single" w:color="000000" w:sz="4" w:space="0"/>
            </w:tcBorders>
            <w:shd w:val="clear" w:color="auto" w:fill="auto"/>
            <w:vAlign w:val="center"/>
          </w:tcPr>
          <w:p w14:paraId="22EE07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95.58%</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21D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F78B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7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9DBDA">
            <w:pPr>
              <w:jc w:val="both"/>
              <w:rPr>
                <w:rFonts w:hint="eastAsia" w:ascii="宋体" w:hAnsi="宋体" w:eastAsia="宋体" w:cs="宋体"/>
                <w:i w:val="0"/>
                <w:iCs w:val="0"/>
                <w:color w:val="000000"/>
                <w:sz w:val="22"/>
                <w:szCs w:val="22"/>
                <w:u w:val="none"/>
              </w:rPr>
            </w:pPr>
          </w:p>
        </w:tc>
      </w:tr>
      <w:tr w14:paraId="67B45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42EF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地方财政资金</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3A5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608</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9BA4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566.25</w:t>
            </w:r>
          </w:p>
        </w:tc>
        <w:tc>
          <w:tcPr>
            <w:tcW w:w="1154" w:type="pct"/>
            <w:gridSpan w:val="2"/>
            <w:tcBorders>
              <w:top w:val="nil"/>
              <w:left w:val="single" w:color="000000" w:sz="4" w:space="0"/>
              <w:bottom w:val="single" w:color="000000" w:sz="4" w:space="0"/>
              <w:right w:val="single" w:color="000000" w:sz="4" w:space="0"/>
            </w:tcBorders>
            <w:shd w:val="clear" w:color="auto" w:fill="auto"/>
            <w:vAlign w:val="center"/>
          </w:tcPr>
          <w:p w14:paraId="3A7F6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93.13%</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96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03A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7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EC043">
            <w:pPr>
              <w:jc w:val="both"/>
              <w:rPr>
                <w:rFonts w:hint="eastAsia" w:ascii="宋体" w:hAnsi="宋体" w:eastAsia="宋体" w:cs="宋体"/>
                <w:i w:val="0"/>
                <w:iCs w:val="0"/>
                <w:color w:val="000000"/>
                <w:sz w:val="22"/>
                <w:szCs w:val="22"/>
                <w:u w:val="none"/>
              </w:rPr>
            </w:pPr>
          </w:p>
        </w:tc>
      </w:tr>
      <w:tr w14:paraId="323F1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EAE7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其他资金</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DCA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2BD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154" w:type="pct"/>
            <w:gridSpan w:val="2"/>
            <w:tcBorders>
              <w:top w:val="nil"/>
              <w:left w:val="single" w:color="000000" w:sz="4" w:space="0"/>
              <w:bottom w:val="single" w:color="000000" w:sz="4" w:space="0"/>
              <w:right w:val="single" w:color="000000" w:sz="4" w:space="0"/>
            </w:tcBorders>
            <w:shd w:val="clear" w:color="auto" w:fill="auto"/>
            <w:vAlign w:val="center"/>
          </w:tcPr>
          <w:p w14:paraId="285E3E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6D3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BA66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7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8C1B0">
            <w:pPr>
              <w:jc w:val="both"/>
              <w:rPr>
                <w:rFonts w:hint="eastAsia" w:ascii="宋体" w:hAnsi="宋体" w:eastAsia="宋体" w:cs="宋体"/>
                <w:i w:val="0"/>
                <w:iCs w:val="0"/>
                <w:color w:val="000000"/>
                <w:sz w:val="22"/>
                <w:szCs w:val="22"/>
                <w:u w:val="none"/>
              </w:rPr>
            </w:pPr>
          </w:p>
        </w:tc>
      </w:tr>
      <w:tr w14:paraId="30577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5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A881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资金管理情况</w:t>
            </w:r>
          </w:p>
        </w:tc>
        <w:tc>
          <w:tcPr>
            <w:tcW w:w="880" w:type="pct"/>
            <w:gridSpan w:val="2"/>
            <w:tcBorders>
              <w:top w:val="nil"/>
              <w:left w:val="single" w:color="000000" w:sz="4" w:space="0"/>
              <w:bottom w:val="single" w:color="000000" w:sz="4" w:space="0"/>
              <w:right w:val="single" w:color="000000" w:sz="4" w:space="0"/>
            </w:tcBorders>
            <w:shd w:val="clear" w:color="auto" w:fill="auto"/>
            <w:vAlign w:val="center"/>
          </w:tcPr>
          <w:p w14:paraId="004A6F85">
            <w:pPr>
              <w:jc w:val="left"/>
              <w:rPr>
                <w:rFonts w:hint="eastAsia" w:ascii="宋体" w:hAnsi="宋体" w:eastAsia="宋体" w:cs="宋体"/>
                <w:i w:val="0"/>
                <w:iCs w:val="0"/>
                <w:color w:val="000000"/>
                <w:sz w:val="22"/>
                <w:szCs w:val="22"/>
                <w:u w:val="none"/>
              </w:rPr>
            </w:pPr>
          </w:p>
        </w:tc>
        <w:tc>
          <w:tcPr>
            <w:tcW w:w="1504" w:type="pct"/>
            <w:gridSpan w:val="3"/>
            <w:tcBorders>
              <w:top w:val="nil"/>
              <w:left w:val="single" w:color="000000" w:sz="4" w:space="0"/>
              <w:bottom w:val="single" w:color="000000" w:sz="4" w:space="0"/>
              <w:right w:val="single" w:color="000000" w:sz="4" w:space="0"/>
            </w:tcBorders>
            <w:shd w:val="clear" w:color="auto" w:fill="auto"/>
            <w:vAlign w:val="center"/>
          </w:tcPr>
          <w:p w14:paraId="4C655C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情况说明</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1A2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A8BD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8D8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存在问题和改进措施</w:t>
            </w:r>
          </w:p>
        </w:tc>
      </w:tr>
      <w:tr w14:paraId="453BE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95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DA9E5">
            <w:pPr>
              <w:jc w:val="center"/>
              <w:rPr>
                <w:rFonts w:hint="eastAsia" w:ascii="宋体" w:hAnsi="宋体" w:eastAsia="宋体" w:cs="宋体"/>
                <w:i w:val="0"/>
                <w:iCs w:val="0"/>
                <w:color w:val="000000"/>
                <w:sz w:val="22"/>
                <w:szCs w:val="22"/>
                <w:u w:val="none"/>
              </w:rPr>
            </w:pPr>
          </w:p>
        </w:tc>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C8F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分配科学性</w:t>
            </w:r>
          </w:p>
        </w:tc>
        <w:tc>
          <w:tcPr>
            <w:tcW w:w="15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69E3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严格按照转移支付管理制度以及资金管理办法规定范围和标准分配资金。</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0BA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9D58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6B5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44FFB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95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A3298">
            <w:pPr>
              <w:jc w:val="center"/>
              <w:rPr>
                <w:rFonts w:hint="eastAsia" w:ascii="宋体" w:hAnsi="宋体" w:eastAsia="宋体" w:cs="宋体"/>
                <w:i w:val="0"/>
                <w:iCs w:val="0"/>
                <w:color w:val="000000"/>
                <w:sz w:val="22"/>
                <w:szCs w:val="22"/>
                <w:u w:val="none"/>
              </w:rPr>
            </w:pPr>
          </w:p>
        </w:tc>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D8FA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下达及时性</w:t>
            </w:r>
          </w:p>
        </w:tc>
        <w:tc>
          <w:tcPr>
            <w:tcW w:w="15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1E1A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严格按照预算法及其实施条例、转移支付管理制度规定以及资金管理办法规定的时限要求及时下达。</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D01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3B61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3D5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22BD4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95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63CEF">
            <w:pPr>
              <w:jc w:val="center"/>
              <w:rPr>
                <w:rFonts w:hint="eastAsia" w:ascii="宋体" w:hAnsi="宋体" w:eastAsia="宋体" w:cs="宋体"/>
                <w:i w:val="0"/>
                <w:iCs w:val="0"/>
                <w:color w:val="000000"/>
                <w:sz w:val="22"/>
                <w:szCs w:val="22"/>
                <w:u w:val="none"/>
              </w:rPr>
            </w:pPr>
          </w:p>
        </w:tc>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15F2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拨付合规性</w:t>
            </w:r>
          </w:p>
        </w:tc>
        <w:tc>
          <w:tcPr>
            <w:tcW w:w="15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DB95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严格按照国库集中支付制度有关规定支付资金，未出现违规将资金从国库转入财政专户或支付到预算单位实有资金账户等问题。</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A30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7942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202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29A40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95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53E4D">
            <w:pPr>
              <w:jc w:val="center"/>
              <w:rPr>
                <w:rFonts w:hint="eastAsia" w:ascii="宋体" w:hAnsi="宋体" w:eastAsia="宋体" w:cs="宋体"/>
                <w:i w:val="0"/>
                <w:iCs w:val="0"/>
                <w:color w:val="000000"/>
                <w:sz w:val="22"/>
                <w:szCs w:val="22"/>
                <w:u w:val="none"/>
              </w:rPr>
            </w:pPr>
          </w:p>
        </w:tc>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4F56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使用规范性</w:t>
            </w:r>
          </w:p>
        </w:tc>
        <w:tc>
          <w:tcPr>
            <w:tcW w:w="15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60BF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严格按照下达预算的科目和项目执行，未出现截留、挤占、挪用或擅自调整等问题。</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416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60C1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AC6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5A8CB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95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A5C6F">
            <w:pPr>
              <w:jc w:val="center"/>
              <w:rPr>
                <w:rFonts w:hint="eastAsia" w:ascii="宋体" w:hAnsi="宋体" w:eastAsia="宋体" w:cs="宋体"/>
                <w:i w:val="0"/>
                <w:iCs w:val="0"/>
                <w:color w:val="000000"/>
                <w:sz w:val="22"/>
                <w:szCs w:val="22"/>
                <w:u w:val="none"/>
              </w:rPr>
            </w:pPr>
          </w:p>
        </w:tc>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B2BA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执行准确性</w:t>
            </w:r>
          </w:p>
        </w:tc>
        <w:tc>
          <w:tcPr>
            <w:tcW w:w="15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E281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按照上级下达和本级预算安排的金额执行，不存在执行数偏离预算数较多的问题。</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9AA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E6C2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6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2A1A7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95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AFC88">
            <w:pPr>
              <w:jc w:val="center"/>
              <w:rPr>
                <w:rFonts w:hint="eastAsia" w:ascii="宋体" w:hAnsi="宋体" w:eastAsia="宋体" w:cs="宋体"/>
                <w:i w:val="0"/>
                <w:iCs w:val="0"/>
                <w:color w:val="000000"/>
                <w:sz w:val="22"/>
                <w:szCs w:val="22"/>
                <w:u w:val="none"/>
              </w:rPr>
            </w:pPr>
          </w:p>
        </w:tc>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F80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预算绩效管理情况</w:t>
            </w:r>
          </w:p>
        </w:tc>
        <w:tc>
          <w:tcPr>
            <w:tcW w:w="15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A6D4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在细化下达预算时同步下达绩效目标，将有关资金纳入本级预算支付绩效管理，开展绩效监控和绩效评价。</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16C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D201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446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760EF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95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CC880">
            <w:pPr>
              <w:jc w:val="center"/>
              <w:rPr>
                <w:rFonts w:hint="eastAsia" w:ascii="宋体" w:hAnsi="宋体" w:eastAsia="宋体" w:cs="宋体"/>
                <w:i w:val="0"/>
                <w:iCs w:val="0"/>
                <w:color w:val="000000"/>
                <w:sz w:val="22"/>
                <w:szCs w:val="22"/>
                <w:u w:val="none"/>
              </w:rPr>
            </w:pPr>
          </w:p>
        </w:tc>
        <w:tc>
          <w:tcPr>
            <w:tcW w:w="8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FEF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支出责任履行情况</w:t>
            </w:r>
          </w:p>
        </w:tc>
        <w:tc>
          <w:tcPr>
            <w:tcW w:w="15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74FE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自治区财政按支出标准配套608万元，资金到位率100%。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1C1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C44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266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30665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33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F54EE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B49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E7C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6E31B">
            <w:pPr>
              <w:jc w:val="center"/>
              <w:rPr>
                <w:rFonts w:hint="eastAsia" w:ascii="宋体" w:hAnsi="宋体" w:eastAsia="宋体" w:cs="宋体"/>
                <w:i w:val="0"/>
                <w:iCs w:val="0"/>
                <w:color w:val="000000"/>
                <w:sz w:val="22"/>
                <w:szCs w:val="22"/>
                <w:u w:val="none"/>
              </w:rPr>
            </w:pPr>
          </w:p>
        </w:tc>
      </w:tr>
      <w:tr w14:paraId="23EF9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A861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总体目标完成情况</w:t>
            </w:r>
          </w:p>
        </w:tc>
        <w:tc>
          <w:tcPr>
            <w:tcW w:w="19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BDA78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总体目标</w:t>
            </w:r>
          </w:p>
        </w:tc>
        <w:tc>
          <w:tcPr>
            <w:tcW w:w="281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5F3B8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全年实际完成情况</w:t>
            </w:r>
          </w:p>
        </w:tc>
      </w:tr>
      <w:tr w14:paraId="4D7C6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6552B">
            <w:pPr>
              <w:jc w:val="center"/>
              <w:rPr>
                <w:rFonts w:hint="eastAsia" w:ascii="宋体" w:hAnsi="宋体" w:eastAsia="宋体" w:cs="宋体"/>
                <w:i w:val="0"/>
                <w:iCs w:val="0"/>
                <w:color w:val="000000"/>
                <w:sz w:val="22"/>
                <w:szCs w:val="22"/>
                <w:u w:val="none"/>
              </w:rPr>
            </w:pPr>
          </w:p>
        </w:tc>
        <w:tc>
          <w:tcPr>
            <w:tcW w:w="19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CED9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目标1：支持13个地州市107个体育场馆免费或低收费开放，全年对外开放不少于330天，每周开放不少于35小时，国家法定节假日、全民健身日和学校寒暑假期间每天开放不少于8小时。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目标2：积极落实体育场馆免费或低收费开放服务，不断提高运营管理能力和公共服务水平，满足人民群众日益增长的体育健身需求。</w:t>
            </w:r>
          </w:p>
        </w:tc>
        <w:tc>
          <w:tcPr>
            <w:tcW w:w="281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1EDAE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截至目前，本项目已完成支持13个地州市107个体育场馆免费或低收费开放，全年对外开放330天，每周开放35小时，国家法定节假日、全民健身日和学校寒暑假期间每天开放8小时。项目实施后积极落实体育场馆免费或低收费开放服务，不断提高运营管理能力和公共服务水平，满足人民群众日益增长的体育健身需求。</w:t>
            </w:r>
          </w:p>
        </w:tc>
      </w:tr>
      <w:tr w14:paraId="10CFB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3" w:hRule="atLeast"/>
        </w:trPr>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0F6F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绩效指标</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66AE8">
            <w:pPr>
              <w:keepNext w:val="0"/>
              <w:keepLines w:val="0"/>
              <w:widowControl/>
              <w:suppressLineNumbers w:val="0"/>
              <w:jc w:val="center"/>
              <w:textAlignment w:val="center"/>
              <w:rPr>
                <w:rFonts w:hint="eastAsia" w:ascii="宋体" w:hAnsi="宋体" w:eastAsia="宋体" w:cs="宋体"/>
                <w:i w:val="0"/>
                <w:iCs w:val="0"/>
                <w:color w:val="FFFFFF"/>
                <w:sz w:val="22"/>
                <w:szCs w:val="22"/>
                <w:u w:val="none"/>
              </w:rPr>
            </w:pPr>
            <w:r>
              <w:rPr>
                <w:rFonts w:hint="eastAsia" w:ascii="宋体" w:hAnsi="宋体" w:eastAsia="宋体" w:cs="宋体"/>
                <w:i w:val="0"/>
                <w:iCs w:val="0"/>
                <w:color w:val="FFFFFF"/>
                <w:kern w:val="0"/>
                <w:sz w:val="22"/>
                <w:szCs w:val="22"/>
                <w:u w:val="none"/>
                <w:lang w:val="en-US" w:eastAsia="zh-CN" w:bidi="ar"/>
              </w:rPr>
              <w:t>一级</w:t>
            </w:r>
            <w:r>
              <w:rPr>
                <w:rFonts w:hint="eastAsia" w:ascii="宋体" w:hAnsi="宋体" w:eastAsia="宋体" w:cs="宋体"/>
                <w:i w:val="0"/>
                <w:iCs w:val="0"/>
                <w:color w:val="FFFFFF"/>
                <w:kern w:val="0"/>
                <w:sz w:val="22"/>
                <w:szCs w:val="22"/>
                <w:u w:val="none"/>
                <w:lang w:val="en-US" w:eastAsia="zh-CN" w:bidi="ar"/>
              </w:rPr>
              <w:br w:type="textWrapping"/>
            </w:r>
            <w:r>
              <w:rPr>
                <w:rFonts w:hint="eastAsia" w:ascii="宋体" w:hAnsi="宋体" w:eastAsia="宋体" w:cs="宋体"/>
                <w:i w:val="0"/>
                <w:iCs w:val="0"/>
                <w:color w:val="FFFFFF"/>
                <w:kern w:val="0"/>
                <w:sz w:val="22"/>
                <w:szCs w:val="22"/>
                <w:u w:val="none"/>
                <w:lang w:val="en-US" w:eastAsia="zh-CN" w:bidi="ar"/>
              </w:rPr>
              <w:t>指标</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B83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1230" w:type="pct"/>
            <w:gridSpan w:val="3"/>
            <w:tcBorders>
              <w:top w:val="single" w:color="000000" w:sz="4" w:space="0"/>
              <w:left w:val="single" w:color="000000" w:sz="4" w:space="0"/>
              <w:bottom w:val="nil"/>
              <w:right w:val="single" w:color="000000" w:sz="4" w:space="0"/>
            </w:tcBorders>
            <w:shd w:val="clear" w:color="auto" w:fill="auto"/>
            <w:vAlign w:val="center"/>
          </w:tcPr>
          <w:p w14:paraId="387256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613" w:type="pct"/>
            <w:tcBorders>
              <w:top w:val="single" w:color="000000" w:sz="4" w:space="0"/>
              <w:left w:val="single" w:color="000000" w:sz="4" w:space="0"/>
              <w:bottom w:val="nil"/>
              <w:right w:val="single" w:color="000000" w:sz="4" w:space="0"/>
            </w:tcBorders>
            <w:shd w:val="clear" w:color="auto" w:fill="auto"/>
            <w:vAlign w:val="center"/>
          </w:tcPr>
          <w:p w14:paraId="440B6D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9A4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全年实际完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成值</w:t>
            </w:r>
          </w:p>
        </w:tc>
        <w:tc>
          <w:tcPr>
            <w:tcW w:w="533" w:type="pct"/>
            <w:gridSpan w:val="2"/>
            <w:tcBorders>
              <w:top w:val="single" w:color="000000" w:sz="4" w:space="0"/>
              <w:left w:val="single" w:color="000000" w:sz="4" w:space="0"/>
              <w:bottom w:val="nil"/>
              <w:right w:val="single" w:color="000000" w:sz="4" w:space="0"/>
            </w:tcBorders>
            <w:shd w:val="clear" w:color="auto" w:fill="auto"/>
            <w:vAlign w:val="center"/>
          </w:tcPr>
          <w:p w14:paraId="25D8F9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993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906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未完成原因和改进措施</w:t>
            </w:r>
          </w:p>
        </w:tc>
      </w:tr>
      <w:tr w14:paraId="4138A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CA7E4CD">
            <w:pPr>
              <w:jc w:val="center"/>
              <w:rPr>
                <w:rFonts w:hint="eastAsia" w:ascii="宋体" w:hAnsi="宋体" w:eastAsia="宋体" w:cs="宋体"/>
                <w:i w:val="0"/>
                <w:iCs w:val="0"/>
                <w:color w:val="000000"/>
                <w:sz w:val="22"/>
                <w:szCs w:val="22"/>
                <w:u w:val="none"/>
              </w:rPr>
            </w:pPr>
          </w:p>
        </w:tc>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A8C59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D4DA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1230" w:type="pct"/>
            <w:gridSpan w:val="3"/>
            <w:tcBorders>
              <w:top w:val="single" w:color="000000" w:sz="4" w:space="0"/>
              <w:left w:val="single" w:color="000000" w:sz="4" w:space="0"/>
              <w:bottom w:val="single" w:color="000000" w:sz="4" w:space="0"/>
              <w:right w:val="nil"/>
            </w:tcBorders>
            <w:shd w:val="clear" w:color="auto" w:fill="auto"/>
            <w:vAlign w:val="center"/>
          </w:tcPr>
          <w:p w14:paraId="2C8981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公共体育场馆免费或低收费开放数量</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A0B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≥107个</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226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107个</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FCC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337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A64A7">
            <w:pPr>
              <w:jc w:val="left"/>
              <w:rPr>
                <w:rFonts w:hint="eastAsia" w:ascii="宋体" w:hAnsi="宋体" w:eastAsia="宋体" w:cs="宋体"/>
                <w:i w:val="0"/>
                <w:iCs w:val="0"/>
                <w:color w:val="000000"/>
                <w:sz w:val="22"/>
                <w:szCs w:val="22"/>
                <w:u w:val="none"/>
              </w:rPr>
            </w:pPr>
          </w:p>
        </w:tc>
      </w:tr>
      <w:tr w14:paraId="098F1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F750006">
            <w:pPr>
              <w:jc w:val="center"/>
              <w:rPr>
                <w:rFonts w:hint="eastAsia" w:ascii="宋体" w:hAnsi="宋体" w:eastAsia="宋体" w:cs="宋体"/>
                <w:i w:val="0"/>
                <w:iCs w:val="0"/>
                <w:color w:val="000000"/>
                <w:sz w:val="22"/>
                <w:szCs w:val="22"/>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33186A">
            <w:pPr>
              <w:jc w:val="center"/>
              <w:rPr>
                <w:rFonts w:hint="eastAsia" w:ascii="宋体" w:hAnsi="宋体" w:eastAsia="宋体" w:cs="宋体"/>
                <w:i w:val="0"/>
                <w:iCs w:val="0"/>
                <w:color w:val="000000"/>
                <w:sz w:val="22"/>
                <w:szCs w:val="22"/>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5CEE1">
            <w:pPr>
              <w:jc w:val="center"/>
              <w:rPr>
                <w:rFonts w:hint="eastAsia" w:ascii="宋体" w:hAnsi="宋体" w:eastAsia="宋体" w:cs="宋体"/>
                <w:i w:val="0"/>
                <w:iCs w:val="0"/>
                <w:color w:val="000000"/>
                <w:sz w:val="22"/>
                <w:szCs w:val="22"/>
                <w:u w:val="none"/>
              </w:rPr>
            </w:pPr>
          </w:p>
        </w:tc>
        <w:tc>
          <w:tcPr>
            <w:tcW w:w="1230" w:type="pct"/>
            <w:gridSpan w:val="3"/>
            <w:tcBorders>
              <w:top w:val="nil"/>
              <w:left w:val="single" w:color="000000" w:sz="4" w:space="0"/>
              <w:bottom w:val="single" w:color="000000" w:sz="4" w:space="0"/>
              <w:right w:val="nil"/>
            </w:tcBorders>
            <w:shd w:val="clear" w:color="auto" w:fill="auto"/>
            <w:vAlign w:val="center"/>
          </w:tcPr>
          <w:p w14:paraId="4DEF86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公共体育场馆年均免费或低收费开放天数</w:t>
            </w:r>
          </w:p>
        </w:tc>
        <w:tc>
          <w:tcPr>
            <w:tcW w:w="613" w:type="pct"/>
            <w:tcBorders>
              <w:top w:val="nil"/>
              <w:left w:val="single" w:color="000000" w:sz="4" w:space="0"/>
              <w:bottom w:val="single" w:color="000000" w:sz="4" w:space="0"/>
              <w:right w:val="single" w:color="000000" w:sz="4" w:space="0"/>
            </w:tcBorders>
            <w:shd w:val="clear" w:color="auto" w:fill="auto"/>
            <w:vAlign w:val="center"/>
          </w:tcPr>
          <w:p w14:paraId="364CDD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≥330天</w:t>
            </w:r>
          </w:p>
        </w:tc>
        <w:tc>
          <w:tcPr>
            <w:tcW w:w="541" w:type="pct"/>
            <w:tcBorders>
              <w:top w:val="nil"/>
              <w:left w:val="single" w:color="000000" w:sz="4" w:space="0"/>
              <w:bottom w:val="single" w:color="000000" w:sz="4" w:space="0"/>
              <w:right w:val="single" w:color="000000" w:sz="4" w:space="0"/>
            </w:tcBorders>
            <w:shd w:val="clear" w:color="auto" w:fill="auto"/>
            <w:vAlign w:val="center"/>
          </w:tcPr>
          <w:p w14:paraId="36D470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331天</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067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C0C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42CA7">
            <w:pPr>
              <w:jc w:val="left"/>
              <w:rPr>
                <w:rFonts w:hint="eastAsia" w:ascii="宋体" w:hAnsi="宋体" w:eastAsia="宋体" w:cs="宋体"/>
                <w:i w:val="0"/>
                <w:iCs w:val="0"/>
                <w:color w:val="000000"/>
                <w:sz w:val="22"/>
                <w:szCs w:val="22"/>
                <w:u w:val="none"/>
              </w:rPr>
            </w:pPr>
          </w:p>
        </w:tc>
      </w:tr>
      <w:tr w14:paraId="004D4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EEECAB">
            <w:pPr>
              <w:jc w:val="center"/>
              <w:rPr>
                <w:rFonts w:hint="eastAsia" w:ascii="宋体" w:hAnsi="宋体" w:eastAsia="宋体" w:cs="宋体"/>
                <w:i w:val="0"/>
                <w:iCs w:val="0"/>
                <w:color w:val="000000"/>
                <w:sz w:val="22"/>
                <w:szCs w:val="22"/>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AE7062E">
            <w:pPr>
              <w:jc w:val="center"/>
              <w:rPr>
                <w:rFonts w:hint="eastAsia" w:ascii="宋体" w:hAnsi="宋体" w:eastAsia="宋体" w:cs="宋体"/>
                <w:i w:val="0"/>
                <w:iCs w:val="0"/>
                <w:color w:val="000000"/>
                <w:sz w:val="22"/>
                <w:szCs w:val="22"/>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CA891">
            <w:pPr>
              <w:jc w:val="center"/>
              <w:rPr>
                <w:rFonts w:hint="eastAsia" w:ascii="宋体" w:hAnsi="宋体" w:eastAsia="宋体" w:cs="宋体"/>
                <w:i w:val="0"/>
                <w:iCs w:val="0"/>
                <w:color w:val="000000"/>
                <w:sz w:val="22"/>
                <w:szCs w:val="22"/>
                <w:u w:val="none"/>
              </w:rPr>
            </w:pPr>
          </w:p>
        </w:tc>
        <w:tc>
          <w:tcPr>
            <w:tcW w:w="1230" w:type="pct"/>
            <w:gridSpan w:val="3"/>
            <w:tcBorders>
              <w:top w:val="nil"/>
              <w:left w:val="single" w:color="000000" w:sz="4" w:space="0"/>
              <w:bottom w:val="single" w:color="000000" w:sz="4" w:space="0"/>
              <w:right w:val="nil"/>
            </w:tcBorders>
            <w:shd w:val="clear" w:color="auto" w:fill="auto"/>
            <w:vAlign w:val="center"/>
          </w:tcPr>
          <w:p w14:paraId="41A2D7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每周开放时间</w:t>
            </w:r>
          </w:p>
        </w:tc>
        <w:tc>
          <w:tcPr>
            <w:tcW w:w="613" w:type="pct"/>
            <w:tcBorders>
              <w:top w:val="nil"/>
              <w:left w:val="single" w:color="000000" w:sz="4" w:space="0"/>
              <w:bottom w:val="single" w:color="000000" w:sz="4" w:space="0"/>
              <w:right w:val="single" w:color="000000" w:sz="4" w:space="0"/>
            </w:tcBorders>
            <w:shd w:val="clear" w:color="auto" w:fill="auto"/>
            <w:vAlign w:val="center"/>
          </w:tcPr>
          <w:p w14:paraId="55CFA4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≥35小时</w:t>
            </w:r>
          </w:p>
        </w:tc>
        <w:tc>
          <w:tcPr>
            <w:tcW w:w="541" w:type="pct"/>
            <w:tcBorders>
              <w:top w:val="nil"/>
              <w:left w:val="single" w:color="000000" w:sz="4" w:space="0"/>
              <w:bottom w:val="single" w:color="000000" w:sz="4" w:space="0"/>
              <w:right w:val="single" w:color="000000" w:sz="4" w:space="0"/>
            </w:tcBorders>
            <w:shd w:val="clear" w:color="auto" w:fill="auto"/>
            <w:vAlign w:val="center"/>
          </w:tcPr>
          <w:p w14:paraId="2606E2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36.8小时</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8E6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815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52065">
            <w:pPr>
              <w:jc w:val="center"/>
              <w:rPr>
                <w:rFonts w:hint="eastAsia" w:ascii="宋体" w:hAnsi="宋体" w:eastAsia="宋体" w:cs="宋体"/>
                <w:i w:val="0"/>
                <w:iCs w:val="0"/>
                <w:color w:val="000000"/>
                <w:sz w:val="22"/>
                <w:szCs w:val="22"/>
                <w:u w:val="none"/>
              </w:rPr>
            </w:pPr>
          </w:p>
        </w:tc>
      </w:tr>
      <w:tr w14:paraId="61ACC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3A9D314">
            <w:pPr>
              <w:jc w:val="center"/>
              <w:rPr>
                <w:rFonts w:hint="eastAsia" w:ascii="宋体" w:hAnsi="宋体" w:eastAsia="宋体" w:cs="宋体"/>
                <w:i w:val="0"/>
                <w:iCs w:val="0"/>
                <w:color w:val="000000"/>
                <w:sz w:val="22"/>
                <w:szCs w:val="22"/>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DE1546D">
            <w:pPr>
              <w:jc w:val="center"/>
              <w:rPr>
                <w:rFonts w:hint="eastAsia" w:ascii="宋体" w:hAnsi="宋体" w:eastAsia="宋体" w:cs="宋体"/>
                <w:i w:val="0"/>
                <w:iCs w:val="0"/>
                <w:color w:val="000000"/>
                <w:sz w:val="22"/>
                <w:szCs w:val="22"/>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33A93">
            <w:pPr>
              <w:jc w:val="center"/>
              <w:rPr>
                <w:rFonts w:hint="eastAsia" w:ascii="宋体" w:hAnsi="宋体" w:eastAsia="宋体" w:cs="宋体"/>
                <w:i w:val="0"/>
                <w:iCs w:val="0"/>
                <w:color w:val="000000"/>
                <w:sz w:val="22"/>
                <w:szCs w:val="22"/>
                <w:u w:val="none"/>
              </w:rPr>
            </w:pPr>
          </w:p>
        </w:tc>
        <w:tc>
          <w:tcPr>
            <w:tcW w:w="1230" w:type="pct"/>
            <w:gridSpan w:val="3"/>
            <w:tcBorders>
              <w:top w:val="nil"/>
              <w:left w:val="single" w:color="000000" w:sz="4" w:space="0"/>
              <w:bottom w:val="single" w:color="000000" w:sz="4" w:space="0"/>
              <w:right w:val="nil"/>
            </w:tcBorders>
            <w:shd w:val="clear" w:color="auto" w:fill="auto"/>
            <w:vAlign w:val="center"/>
          </w:tcPr>
          <w:p w14:paraId="1E5AB7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国家法定节假日、全民健身日和学校寒暑假期间每天开放时间</w:t>
            </w:r>
          </w:p>
        </w:tc>
        <w:tc>
          <w:tcPr>
            <w:tcW w:w="613" w:type="pct"/>
            <w:tcBorders>
              <w:top w:val="nil"/>
              <w:left w:val="single" w:color="000000" w:sz="4" w:space="0"/>
              <w:bottom w:val="single" w:color="000000" w:sz="4" w:space="0"/>
              <w:right w:val="single" w:color="000000" w:sz="4" w:space="0"/>
            </w:tcBorders>
            <w:shd w:val="clear" w:color="auto" w:fill="auto"/>
            <w:vAlign w:val="center"/>
          </w:tcPr>
          <w:p w14:paraId="1B3BAA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≥8小时</w:t>
            </w:r>
          </w:p>
        </w:tc>
        <w:tc>
          <w:tcPr>
            <w:tcW w:w="541" w:type="pct"/>
            <w:tcBorders>
              <w:top w:val="nil"/>
              <w:left w:val="single" w:color="000000" w:sz="4" w:space="0"/>
              <w:bottom w:val="single" w:color="000000" w:sz="4" w:space="0"/>
              <w:right w:val="single" w:color="000000" w:sz="4" w:space="0"/>
            </w:tcBorders>
            <w:shd w:val="clear" w:color="auto" w:fill="auto"/>
            <w:vAlign w:val="center"/>
          </w:tcPr>
          <w:p w14:paraId="455BF0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8小时</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A40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E8F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9FD3B">
            <w:pPr>
              <w:jc w:val="left"/>
              <w:rPr>
                <w:rFonts w:hint="eastAsia" w:ascii="宋体" w:hAnsi="宋体" w:eastAsia="宋体" w:cs="宋体"/>
                <w:i w:val="0"/>
                <w:iCs w:val="0"/>
                <w:color w:val="000000"/>
                <w:sz w:val="22"/>
                <w:szCs w:val="22"/>
                <w:u w:val="none"/>
              </w:rPr>
            </w:pPr>
          </w:p>
        </w:tc>
      </w:tr>
      <w:tr w14:paraId="002CF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8E3F4BC">
            <w:pPr>
              <w:jc w:val="center"/>
              <w:rPr>
                <w:rFonts w:hint="eastAsia" w:ascii="宋体" w:hAnsi="宋体" w:eastAsia="宋体" w:cs="宋体"/>
                <w:i w:val="0"/>
                <w:iCs w:val="0"/>
                <w:color w:val="000000"/>
                <w:sz w:val="22"/>
                <w:szCs w:val="22"/>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C385AA2">
            <w:pPr>
              <w:jc w:val="center"/>
              <w:rPr>
                <w:rFonts w:hint="eastAsia" w:ascii="宋体" w:hAnsi="宋体" w:eastAsia="宋体" w:cs="宋体"/>
                <w:i w:val="0"/>
                <w:iCs w:val="0"/>
                <w:color w:val="000000"/>
                <w:sz w:val="22"/>
                <w:szCs w:val="22"/>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AD3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1230" w:type="pct"/>
            <w:gridSpan w:val="3"/>
            <w:tcBorders>
              <w:top w:val="nil"/>
              <w:left w:val="single" w:color="000000" w:sz="4" w:space="0"/>
              <w:bottom w:val="single" w:color="000000" w:sz="4" w:space="0"/>
              <w:right w:val="nil"/>
            </w:tcBorders>
            <w:shd w:val="clear" w:color="auto" w:fill="auto"/>
            <w:vAlign w:val="center"/>
          </w:tcPr>
          <w:p w14:paraId="7050E8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服务质量达到《公共体育场馆基本公共服务规范》标准</w:t>
            </w:r>
          </w:p>
        </w:tc>
        <w:tc>
          <w:tcPr>
            <w:tcW w:w="613" w:type="pct"/>
            <w:tcBorders>
              <w:top w:val="nil"/>
              <w:left w:val="single" w:color="000000" w:sz="4" w:space="0"/>
              <w:bottom w:val="single" w:color="000000" w:sz="4" w:space="0"/>
              <w:right w:val="single" w:color="000000" w:sz="4" w:space="0"/>
            </w:tcBorders>
            <w:shd w:val="clear" w:color="auto" w:fill="auto"/>
            <w:vAlign w:val="center"/>
          </w:tcPr>
          <w:p w14:paraId="3F872D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541" w:type="pct"/>
            <w:tcBorders>
              <w:top w:val="nil"/>
              <w:left w:val="single" w:color="000000" w:sz="4" w:space="0"/>
              <w:bottom w:val="single" w:color="000000" w:sz="4" w:space="0"/>
              <w:right w:val="single" w:color="000000" w:sz="4" w:space="0"/>
            </w:tcBorders>
            <w:shd w:val="clear" w:color="auto" w:fill="auto"/>
            <w:vAlign w:val="center"/>
          </w:tcPr>
          <w:p w14:paraId="14123D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8F5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E9F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71A81">
            <w:pPr>
              <w:jc w:val="left"/>
              <w:rPr>
                <w:rFonts w:hint="eastAsia" w:ascii="宋体" w:hAnsi="宋体" w:eastAsia="宋体" w:cs="宋体"/>
                <w:i w:val="0"/>
                <w:iCs w:val="0"/>
                <w:color w:val="000000"/>
                <w:sz w:val="22"/>
                <w:szCs w:val="22"/>
                <w:u w:val="none"/>
              </w:rPr>
            </w:pPr>
          </w:p>
        </w:tc>
      </w:tr>
      <w:tr w14:paraId="3D027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5E04D02">
            <w:pPr>
              <w:jc w:val="center"/>
              <w:rPr>
                <w:rFonts w:hint="eastAsia" w:ascii="宋体" w:hAnsi="宋体" w:eastAsia="宋体" w:cs="宋体"/>
                <w:i w:val="0"/>
                <w:iCs w:val="0"/>
                <w:color w:val="000000"/>
                <w:sz w:val="22"/>
                <w:szCs w:val="22"/>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0C4972">
            <w:pPr>
              <w:jc w:val="center"/>
              <w:rPr>
                <w:rFonts w:hint="eastAsia" w:ascii="宋体" w:hAnsi="宋体" w:eastAsia="宋体" w:cs="宋体"/>
                <w:i w:val="0"/>
                <w:iCs w:val="0"/>
                <w:color w:val="000000"/>
                <w:sz w:val="22"/>
                <w:szCs w:val="22"/>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25C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1230" w:type="pct"/>
            <w:gridSpan w:val="3"/>
            <w:tcBorders>
              <w:top w:val="nil"/>
              <w:left w:val="single" w:color="000000" w:sz="4" w:space="0"/>
              <w:bottom w:val="single" w:color="000000" w:sz="4" w:space="0"/>
              <w:right w:val="nil"/>
            </w:tcBorders>
            <w:shd w:val="clear" w:color="auto" w:fill="auto"/>
            <w:vAlign w:val="center"/>
          </w:tcPr>
          <w:p w14:paraId="7E61D3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公共体育场馆免费或低收费开放完成时间</w:t>
            </w:r>
          </w:p>
        </w:tc>
        <w:tc>
          <w:tcPr>
            <w:tcW w:w="613" w:type="pct"/>
            <w:tcBorders>
              <w:top w:val="nil"/>
              <w:left w:val="single" w:color="000000" w:sz="4" w:space="0"/>
              <w:bottom w:val="single" w:color="000000" w:sz="4" w:space="0"/>
              <w:right w:val="single" w:color="000000" w:sz="4" w:space="0"/>
            </w:tcBorders>
            <w:shd w:val="clear" w:color="auto" w:fill="auto"/>
            <w:vAlign w:val="center"/>
          </w:tcPr>
          <w:p w14:paraId="1ADEAB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2025年12月31日</w:t>
            </w:r>
          </w:p>
        </w:tc>
        <w:tc>
          <w:tcPr>
            <w:tcW w:w="541" w:type="pct"/>
            <w:tcBorders>
              <w:top w:val="nil"/>
              <w:left w:val="single" w:color="000000" w:sz="4" w:space="0"/>
              <w:bottom w:val="single" w:color="000000" w:sz="4" w:space="0"/>
              <w:right w:val="single" w:color="000000" w:sz="4" w:space="0"/>
            </w:tcBorders>
            <w:shd w:val="clear" w:color="auto" w:fill="auto"/>
            <w:vAlign w:val="center"/>
          </w:tcPr>
          <w:p w14:paraId="472CA6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2025年12月31日</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B3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E89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A2BAB">
            <w:pPr>
              <w:jc w:val="left"/>
              <w:rPr>
                <w:rFonts w:hint="eastAsia" w:ascii="宋体" w:hAnsi="宋体" w:eastAsia="宋体" w:cs="宋体"/>
                <w:i w:val="0"/>
                <w:iCs w:val="0"/>
                <w:color w:val="000000"/>
                <w:sz w:val="22"/>
                <w:szCs w:val="22"/>
                <w:u w:val="none"/>
              </w:rPr>
            </w:pPr>
          </w:p>
        </w:tc>
      </w:tr>
      <w:tr w14:paraId="094AD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B1E793">
            <w:pPr>
              <w:jc w:val="center"/>
              <w:rPr>
                <w:rFonts w:hint="eastAsia" w:ascii="宋体" w:hAnsi="宋体" w:eastAsia="宋体" w:cs="宋体"/>
                <w:i w:val="0"/>
                <w:iCs w:val="0"/>
                <w:color w:val="000000"/>
                <w:sz w:val="22"/>
                <w:szCs w:val="22"/>
                <w:u w:val="none"/>
              </w:rPr>
            </w:pPr>
          </w:p>
        </w:tc>
        <w:tc>
          <w:tcPr>
            <w:tcW w:w="2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2021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5F04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社会效益指标</w:t>
            </w:r>
          </w:p>
        </w:tc>
        <w:tc>
          <w:tcPr>
            <w:tcW w:w="1230" w:type="pct"/>
            <w:gridSpan w:val="3"/>
            <w:tcBorders>
              <w:top w:val="nil"/>
              <w:left w:val="single" w:color="000000" w:sz="4" w:space="0"/>
              <w:bottom w:val="single" w:color="000000" w:sz="4" w:space="0"/>
              <w:right w:val="nil"/>
            </w:tcBorders>
            <w:shd w:val="clear" w:color="auto" w:fill="auto"/>
            <w:vAlign w:val="center"/>
          </w:tcPr>
          <w:p w14:paraId="08D83E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场馆所属户外公共区域及户外健身器材全年免费开放</w:t>
            </w:r>
          </w:p>
        </w:tc>
        <w:tc>
          <w:tcPr>
            <w:tcW w:w="613" w:type="pct"/>
            <w:tcBorders>
              <w:top w:val="nil"/>
              <w:left w:val="single" w:color="000000" w:sz="4" w:space="0"/>
              <w:bottom w:val="single" w:color="000000" w:sz="4" w:space="0"/>
              <w:right w:val="single" w:color="000000" w:sz="4" w:space="0"/>
            </w:tcBorders>
            <w:shd w:val="clear" w:color="auto" w:fill="auto"/>
            <w:vAlign w:val="center"/>
          </w:tcPr>
          <w:p w14:paraId="2FB8E7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541" w:type="pct"/>
            <w:tcBorders>
              <w:top w:val="nil"/>
              <w:left w:val="single" w:color="000000" w:sz="4" w:space="0"/>
              <w:bottom w:val="single" w:color="000000" w:sz="4" w:space="0"/>
              <w:right w:val="single" w:color="000000" w:sz="4" w:space="0"/>
            </w:tcBorders>
            <w:shd w:val="clear" w:color="auto" w:fill="auto"/>
            <w:vAlign w:val="center"/>
          </w:tcPr>
          <w:p w14:paraId="1CDEC3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C54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841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E7AE1">
            <w:pPr>
              <w:jc w:val="left"/>
              <w:rPr>
                <w:rFonts w:hint="eastAsia" w:ascii="宋体" w:hAnsi="宋体" w:eastAsia="宋体" w:cs="宋体"/>
                <w:i w:val="0"/>
                <w:iCs w:val="0"/>
                <w:color w:val="000000"/>
                <w:sz w:val="22"/>
                <w:szCs w:val="22"/>
                <w:u w:val="none"/>
              </w:rPr>
            </w:pPr>
          </w:p>
        </w:tc>
      </w:tr>
      <w:tr w14:paraId="31FC0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31D69D2">
            <w:pPr>
              <w:jc w:val="center"/>
              <w:rPr>
                <w:rFonts w:hint="eastAsia" w:ascii="宋体" w:hAnsi="宋体" w:eastAsia="宋体" w:cs="宋体"/>
                <w:i w:val="0"/>
                <w:iCs w:val="0"/>
                <w:color w:val="000000"/>
                <w:sz w:val="22"/>
                <w:szCs w:val="22"/>
                <w:u w:val="none"/>
              </w:rPr>
            </w:pPr>
          </w:p>
        </w:tc>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8B13C">
            <w:pPr>
              <w:jc w:val="center"/>
              <w:rPr>
                <w:rFonts w:hint="eastAsia" w:ascii="宋体" w:hAnsi="宋体" w:eastAsia="宋体" w:cs="宋体"/>
                <w:i w:val="0"/>
                <w:iCs w:val="0"/>
                <w:color w:val="000000"/>
                <w:sz w:val="22"/>
                <w:szCs w:val="22"/>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25275">
            <w:pPr>
              <w:jc w:val="center"/>
              <w:rPr>
                <w:rFonts w:hint="eastAsia" w:ascii="宋体" w:hAnsi="宋体" w:eastAsia="宋体" w:cs="宋体"/>
                <w:i w:val="0"/>
                <w:iCs w:val="0"/>
                <w:color w:val="000000"/>
                <w:sz w:val="22"/>
                <w:szCs w:val="22"/>
                <w:u w:val="none"/>
              </w:rPr>
            </w:pPr>
          </w:p>
        </w:tc>
        <w:tc>
          <w:tcPr>
            <w:tcW w:w="1230" w:type="pct"/>
            <w:gridSpan w:val="3"/>
            <w:tcBorders>
              <w:top w:val="nil"/>
              <w:left w:val="single" w:color="000000" w:sz="4" w:space="0"/>
              <w:bottom w:val="single" w:color="000000" w:sz="4" w:space="0"/>
              <w:right w:val="nil"/>
            </w:tcBorders>
            <w:shd w:val="clear" w:color="auto" w:fill="auto"/>
            <w:vAlign w:val="center"/>
          </w:tcPr>
          <w:p w14:paraId="4CB959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全民健身日全面免费开放</w:t>
            </w:r>
          </w:p>
        </w:tc>
        <w:tc>
          <w:tcPr>
            <w:tcW w:w="613" w:type="pct"/>
            <w:tcBorders>
              <w:top w:val="nil"/>
              <w:left w:val="single" w:color="000000" w:sz="4" w:space="0"/>
              <w:bottom w:val="single" w:color="000000" w:sz="4" w:space="0"/>
              <w:right w:val="single" w:color="000000" w:sz="4" w:space="0"/>
            </w:tcBorders>
            <w:shd w:val="clear" w:color="auto" w:fill="auto"/>
            <w:vAlign w:val="center"/>
          </w:tcPr>
          <w:p w14:paraId="2DEBB9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541" w:type="pct"/>
            <w:tcBorders>
              <w:top w:val="nil"/>
              <w:left w:val="single" w:color="000000" w:sz="4" w:space="0"/>
              <w:bottom w:val="single" w:color="000000" w:sz="4" w:space="0"/>
              <w:right w:val="single" w:color="000000" w:sz="4" w:space="0"/>
            </w:tcBorders>
            <w:shd w:val="clear" w:color="auto" w:fill="auto"/>
            <w:vAlign w:val="center"/>
          </w:tcPr>
          <w:p w14:paraId="04D614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CD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9A6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C5A12">
            <w:pPr>
              <w:jc w:val="left"/>
              <w:rPr>
                <w:rFonts w:hint="eastAsia" w:ascii="宋体" w:hAnsi="宋体" w:eastAsia="宋体" w:cs="宋体"/>
                <w:i w:val="0"/>
                <w:iCs w:val="0"/>
                <w:color w:val="000000"/>
                <w:sz w:val="22"/>
                <w:szCs w:val="22"/>
                <w:u w:val="none"/>
              </w:rPr>
            </w:pPr>
          </w:p>
        </w:tc>
      </w:tr>
      <w:tr w14:paraId="04788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7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3BFBD45">
            <w:pPr>
              <w:jc w:val="center"/>
              <w:rPr>
                <w:rFonts w:hint="eastAsia" w:ascii="宋体" w:hAnsi="宋体" w:eastAsia="宋体" w:cs="宋体"/>
                <w:i w:val="0"/>
                <w:iCs w:val="0"/>
                <w:color w:val="000000"/>
                <w:sz w:val="22"/>
                <w:szCs w:val="22"/>
                <w:u w:val="none"/>
              </w:rPr>
            </w:pPr>
          </w:p>
        </w:tc>
        <w:tc>
          <w:tcPr>
            <w:tcW w:w="279" w:type="pct"/>
            <w:tcBorders>
              <w:top w:val="single" w:color="000000" w:sz="4" w:space="0"/>
              <w:left w:val="single" w:color="000000" w:sz="4" w:space="0"/>
              <w:bottom w:val="nil"/>
              <w:right w:val="single" w:color="000000" w:sz="4" w:space="0"/>
            </w:tcBorders>
            <w:shd w:val="clear" w:color="auto" w:fill="auto"/>
            <w:vAlign w:val="center"/>
          </w:tcPr>
          <w:p w14:paraId="072F42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度指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391" w:type="pct"/>
            <w:tcBorders>
              <w:top w:val="single" w:color="000000" w:sz="4" w:space="0"/>
              <w:left w:val="single" w:color="000000" w:sz="4" w:space="0"/>
              <w:bottom w:val="nil"/>
              <w:right w:val="single" w:color="000000" w:sz="4" w:space="0"/>
            </w:tcBorders>
            <w:shd w:val="clear" w:color="auto" w:fill="auto"/>
            <w:vAlign w:val="center"/>
          </w:tcPr>
          <w:p w14:paraId="7F4E05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1230" w:type="pct"/>
            <w:gridSpan w:val="3"/>
            <w:tcBorders>
              <w:top w:val="nil"/>
              <w:left w:val="single" w:color="000000" w:sz="4" w:space="0"/>
              <w:bottom w:val="nil"/>
              <w:right w:val="nil"/>
            </w:tcBorders>
            <w:shd w:val="clear" w:color="auto" w:fill="auto"/>
            <w:vAlign w:val="center"/>
          </w:tcPr>
          <w:p w14:paraId="5C257F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群众满意度</w:t>
            </w:r>
          </w:p>
        </w:tc>
        <w:tc>
          <w:tcPr>
            <w:tcW w:w="613" w:type="pct"/>
            <w:tcBorders>
              <w:top w:val="nil"/>
              <w:left w:val="single" w:color="000000" w:sz="4" w:space="0"/>
              <w:bottom w:val="nil"/>
              <w:right w:val="single" w:color="000000" w:sz="4" w:space="0"/>
            </w:tcBorders>
            <w:shd w:val="clear" w:color="auto" w:fill="auto"/>
            <w:vAlign w:val="center"/>
          </w:tcPr>
          <w:p w14:paraId="250D6F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541" w:type="pct"/>
            <w:tcBorders>
              <w:top w:val="nil"/>
              <w:left w:val="single" w:color="000000" w:sz="4" w:space="0"/>
              <w:bottom w:val="nil"/>
              <w:right w:val="single" w:color="000000" w:sz="4" w:space="0"/>
            </w:tcBorders>
            <w:shd w:val="clear" w:color="auto" w:fill="auto"/>
            <w:vAlign w:val="center"/>
          </w:tcPr>
          <w:p w14:paraId="2322D1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93.75%</w:t>
            </w:r>
          </w:p>
        </w:tc>
        <w:tc>
          <w:tcPr>
            <w:tcW w:w="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FA0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B05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33" w:type="pct"/>
            <w:tcBorders>
              <w:top w:val="single" w:color="000000" w:sz="4" w:space="0"/>
              <w:left w:val="single" w:color="000000" w:sz="4" w:space="0"/>
              <w:bottom w:val="nil"/>
              <w:right w:val="single" w:color="000000" w:sz="4" w:space="0"/>
            </w:tcBorders>
            <w:shd w:val="clear" w:color="auto" w:fill="auto"/>
            <w:vAlign w:val="center"/>
          </w:tcPr>
          <w:p w14:paraId="03495E86">
            <w:pPr>
              <w:jc w:val="left"/>
              <w:rPr>
                <w:rFonts w:hint="eastAsia" w:ascii="宋体" w:hAnsi="宋体" w:eastAsia="宋体" w:cs="宋体"/>
                <w:i w:val="0"/>
                <w:iCs w:val="0"/>
                <w:color w:val="000000"/>
                <w:sz w:val="22"/>
                <w:szCs w:val="22"/>
                <w:u w:val="none"/>
              </w:rPr>
            </w:pPr>
          </w:p>
        </w:tc>
      </w:tr>
      <w:tr w14:paraId="7B3C6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1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EB034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1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945B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9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7CF2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30245">
            <w:pPr>
              <w:jc w:val="center"/>
              <w:rPr>
                <w:rFonts w:hint="eastAsia" w:ascii="宋体" w:hAnsi="宋体" w:eastAsia="宋体" w:cs="宋体"/>
                <w:i w:val="0"/>
                <w:iCs w:val="0"/>
                <w:color w:val="000000"/>
                <w:sz w:val="22"/>
                <w:szCs w:val="22"/>
                <w:u w:val="none"/>
              </w:rPr>
            </w:pPr>
          </w:p>
        </w:tc>
      </w:tr>
      <w:tr w14:paraId="74526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1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0B855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总分</w:t>
            </w:r>
          </w:p>
        </w:tc>
        <w:tc>
          <w:tcPr>
            <w:tcW w:w="11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13D4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93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872A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99.51</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6917C">
            <w:pPr>
              <w:jc w:val="center"/>
              <w:rPr>
                <w:rFonts w:hint="eastAsia" w:ascii="宋体" w:hAnsi="宋体" w:eastAsia="宋体" w:cs="宋体"/>
                <w:i w:val="0"/>
                <w:iCs w:val="0"/>
                <w:color w:val="000000"/>
                <w:sz w:val="22"/>
                <w:szCs w:val="22"/>
                <w:u w:val="none"/>
              </w:rPr>
            </w:pPr>
          </w:p>
        </w:tc>
      </w:tr>
    </w:tbl>
    <w:p w14:paraId="15136CD2">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p>
    <w:p w14:paraId="409410B5">
      <w:pPr>
        <w:keepNext w:val="0"/>
        <w:keepLines w:val="0"/>
        <w:pageBreakBefore w:val="0"/>
        <w:widowControl w:val="0"/>
        <w:kinsoku/>
        <w:wordWrap/>
        <w:overflowPunct/>
        <w:topLinePunct w:val="0"/>
        <w:bidi w:val="0"/>
        <w:spacing w:line="560" w:lineRule="exact"/>
        <w:ind w:firstLine="640" w:firstLineChars="200"/>
        <w:jc w:val="center"/>
        <w:textAlignment w:val="auto"/>
        <w:rPr>
          <w:rFonts w:hint="default" w:ascii="Times New Roman" w:hAnsi="Times New Roman" w:cs="Times New Roman"/>
          <w:color w:val="auto"/>
          <w:kern w:val="2"/>
          <w:sz w:val="32"/>
          <w:szCs w:val="32"/>
          <w:lang w:val="en-US" w:eastAsia="zh-CN" w:bidi="ar-SA"/>
        </w:rPr>
      </w:pPr>
      <w:r>
        <w:rPr>
          <w:rFonts w:hint="default" w:ascii="Times New Roman" w:hAnsi="Times New Roman" w:cs="Times New Roman"/>
          <w:color w:val="auto"/>
          <w:kern w:val="2"/>
          <w:sz w:val="32"/>
          <w:szCs w:val="32"/>
          <w:lang w:val="en-US" w:eastAsia="zh-CN" w:bidi="ar-SA"/>
        </w:rPr>
        <w:t xml:space="preserve">            </w:t>
      </w:r>
    </w:p>
    <w:p w14:paraId="3BB35120">
      <w:pPr>
        <w:keepNext w:val="0"/>
        <w:keepLines w:val="0"/>
        <w:pageBreakBefore w:val="0"/>
        <w:widowControl w:val="0"/>
        <w:kinsoku/>
        <w:wordWrap/>
        <w:overflowPunct/>
        <w:topLinePunct w:val="0"/>
        <w:bidi w:val="0"/>
        <w:spacing w:line="560" w:lineRule="exact"/>
        <w:ind w:firstLine="640" w:firstLineChars="200"/>
        <w:jc w:val="center"/>
        <w:textAlignment w:val="auto"/>
        <w:rPr>
          <w:rFonts w:hint="default" w:ascii="Times New Roman" w:hAnsi="Times New Roman" w:cs="Times New Roman"/>
          <w:color w:val="auto"/>
          <w:kern w:val="2"/>
          <w:sz w:val="32"/>
          <w:szCs w:val="32"/>
          <w:lang w:val="en-US" w:eastAsia="zh-CN" w:bidi="ar-SA"/>
        </w:rPr>
      </w:pPr>
    </w:p>
    <w:p w14:paraId="74687FBE">
      <w:pPr>
        <w:rPr>
          <w:rFonts w:hint="default" w:ascii="Times New Roman" w:hAnsi="Times New Roman" w:cs="Times New Roman" w:eastAsiaTheme="minorEastAsia"/>
          <w:b/>
          <w:bCs/>
          <w:sz w:val="21"/>
          <w:szCs w:val="21"/>
        </w:rPr>
      </w:pPr>
      <w:r>
        <w:rPr>
          <w:rFonts w:hint="default" w:ascii="Times New Roman" w:hAnsi="Times New Roman" w:cs="Times New Roman" w:eastAsiaTheme="minorEastAsia"/>
          <w:b/>
          <w:bCs/>
          <w:sz w:val="21"/>
          <w:szCs w:val="21"/>
        </w:rPr>
        <w:br w:type="page"/>
      </w:r>
    </w:p>
    <w:tbl>
      <w:tblPr>
        <w:tblStyle w:val="6"/>
        <w:tblW w:w="92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9"/>
        <w:gridCol w:w="575"/>
        <w:gridCol w:w="552"/>
        <w:gridCol w:w="789"/>
        <w:gridCol w:w="395"/>
        <w:gridCol w:w="395"/>
        <w:gridCol w:w="1233"/>
        <w:gridCol w:w="1589"/>
        <w:gridCol w:w="766"/>
        <w:gridCol w:w="656"/>
        <w:gridCol w:w="1768"/>
      </w:tblGrid>
      <w:tr w14:paraId="12B65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297" w:type="dxa"/>
            <w:gridSpan w:val="11"/>
            <w:tcBorders>
              <w:top w:val="nil"/>
              <w:left w:val="nil"/>
              <w:bottom w:val="nil"/>
              <w:right w:val="nil"/>
            </w:tcBorders>
            <w:shd w:val="clear" w:color="auto" w:fill="auto"/>
            <w:vAlign w:val="center"/>
          </w:tcPr>
          <w:p w14:paraId="1D84BABD">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32"/>
                <w:szCs w:val="32"/>
                <w:u w:val="none"/>
              </w:rPr>
            </w:pPr>
            <w:r>
              <w:rPr>
                <w:rFonts w:hint="eastAsia" w:ascii="方正小标宋_GBK" w:hAnsi="方正小标宋_GBK" w:eastAsia="方正小标宋_GBK" w:cs="方正小标宋_GBK"/>
                <w:i w:val="0"/>
                <w:iCs w:val="0"/>
                <w:color w:val="000000"/>
                <w:kern w:val="0"/>
                <w:sz w:val="32"/>
                <w:szCs w:val="32"/>
                <w:u w:val="none"/>
                <w:lang w:val="en-US" w:eastAsia="zh-CN" w:bidi="ar"/>
              </w:rPr>
              <w:t>2025年度中央支持地方公共文化服务体系建设专项资金转移支付项目绩效目标自评表</w:t>
            </w:r>
          </w:p>
        </w:tc>
      </w:tr>
      <w:tr w14:paraId="796E8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297" w:type="dxa"/>
            <w:gridSpan w:val="11"/>
            <w:tcBorders>
              <w:top w:val="nil"/>
              <w:left w:val="nil"/>
              <w:bottom w:val="nil"/>
              <w:right w:val="nil"/>
            </w:tcBorders>
            <w:shd w:val="clear" w:color="auto" w:fill="auto"/>
            <w:vAlign w:val="center"/>
          </w:tcPr>
          <w:p w14:paraId="1EFF5328">
            <w:pPr>
              <w:keepNext w:val="0"/>
              <w:keepLines w:val="0"/>
              <w:widowControl/>
              <w:suppressLineNumbers w:val="0"/>
              <w:jc w:val="center"/>
              <w:textAlignment w:val="center"/>
              <w:rPr>
                <w:rFonts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(2025</w:t>
            </w:r>
            <w:r>
              <w:rPr>
                <w:rFonts w:hint="eastAsia" w:ascii="宋体" w:hAnsi="宋体" w:eastAsia="宋体" w:cs="宋体"/>
                <w:i w:val="0"/>
                <w:iCs w:val="0"/>
                <w:color w:val="000000"/>
                <w:kern w:val="0"/>
                <w:sz w:val="22"/>
                <w:szCs w:val="22"/>
                <w:u w:val="none"/>
                <w:lang w:val="en-US" w:eastAsia="zh-CN" w:bidi="ar"/>
              </w:rPr>
              <w:t>年度</w:t>
            </w:r>
            <w:r>
              <w:rPr>
                <w:rFonts w:hint="default" w:ascii="Arial" w:hAnsi="Arial" w:eastAsia="宋体" w:cs="Arial"/>
                <w:i w:val="0"/>
                <w:iCs w:val="0"/>
                <w:color w:val="000000"/>
                <w:kern w:val="0"/>
                <w:sz w:val="22"/>
                <w:szCs w:val="22"/>
                <w:u w:val="none"/>
                <w:lang w:val="en-US" w:eastAsia="zh-CN" w:bidi="ar"/>
              </w:rPr>
              <w:t>)</w:t>
            </w:r>
          </w:p>
        </w:tc>
      </w:tr>
      <w:tr w14:paraId="5821F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B513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转移支付(项目)名称</w:t>
            </w:r>
          </w:p>
        </w:tc>
        <w:tc>
          <w:tcPr>
            <w:tcW w:w="76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BBADF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2025年中央支持地方公共文化服务体系建设补助资金-全民健身场地器材补短板工程</w:t>
            </w:r>
          </w:p>
        </w:tc>
      </w:tr>
      <w:tr w14:paraId="145BD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D257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中央主管部门</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BB7A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国家体育总局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9F74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地方财政部门</w:t>
            </w:r>
          </w:p>
        </w:tc>
        <w:tc>
          <w:tcPr>
            <w:tcW w:w="31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1C04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新疆维吾尔自治区财政厅</w:t>
            </w:r>
          </w:p>
        </w:tc>
      </w:tr>
      <w:tr w14:paraId="1F6E8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0ED1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地方主管部门</w:t>
            </w:r>
          </w:p>
        </w:tc>
        <w:tc>
          <w:tcPr>
            <w:tcW w:w="0" w:type="auto"/>
            <w:gridSpan w:val="4"/>
            <w:tcBorders>
              <w:top w:val="single" w:color="000000" w:sz="4" w:space="0"/>
              <w:left w:val="single" w:color="000000" w:sz="4" w:space="0"/>
              <w:bottom w:val="nil"/>
              <w:right w:val="single" w:color="000000" w:sz="4" w:space="0"/>
            </w:tcBorders>
            <w:shd w:val="clear" w:color="auto" w:fill="auto"/>
            <w:vAlign w:val="center"/>
          </w:tcPr>
          <w:p w14:paraId="4003C6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新疆维吾尔自治区体育局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C2FE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资金使用单位</w:t>
            </w:r>
          </w:p>
        </w:tc>
        <w:tc>
          <w:tcPr>
            <w:tcW w:w="31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AADE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详见资金分配表相关体育场馆</w:t>
            </w:r>
          </w:p>
        </w:tc>
      </w:tr>
      <w:tr w14:paraId="35C39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4955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资金投入情况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D3FB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全年预算数(A)</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ACA7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全年执行数(B)</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66AF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预算执行率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(B/A×100%)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2822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8D4A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61C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未完成原因和改进措施</w:t>
            </w:r>
          </w:p>
        </w:tc>
      </w:tr>
      <w:tr w14:paraId="3FC76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CE6E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年度资金总额：</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12C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D39C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862.41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BABF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E960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001E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9.58</w:t>
            </w:r>
          </w:p>
        </w:tc>
        <w:tc>
          <w:tcPr>
            <w:tcW w:w="1760" w:type="dxa"/>
            <w:vMerge w:val="restart"/>
            <w:tcBorders>
              <w:top w:val="single" w:color="000000" w:sz="4" w:space="0"/>
              <w:left w:val="nil"/>
              <w:bottom w:val="single" w:color="000000" w:sz="4" w:space="0"/>
              <w:right w:val="single" w:color="000000" w:sz="4" w:space="0"/>
            </w:tcBorders>
            <w:shd w:val="clear" w:color="auto" w:fill="auto"/>
            <w:vAlign w:val="center"/>
          </w:tcPr>
          <w:p w14:paraId="581DB49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未完成原因：阿勒泰地区吉木乃县已完工但财政因扎帐未支付资金；克拉玛依区胜利路街道因冬季气温低，不便于施工，部分未完工；阿克苏地区新和县为结余资金，已退回财政。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改进措施：通过实地调研指导、下发整改通知等方案，指导相关县市加快项目建设，督促加快资金执行，确保项目早日完工，财政资金早日发挥效益。</w:t>
            </w:r>
          </w:p>
        </w:tc>
      </w:tr>
      <w:tr w14:paraId="2065A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5825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其中：中央财政资金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3F6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94D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862.41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C3A3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C26B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2F98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60" w:type="dxa"/>
            <w:vMerge w:val="continue"/>
            <w:tcBorders>
              <w:top w:val="single" w:color="000000" w:sz="4" w:space="0"/>
              <w:left w:val="nil"/>
              <w:bottom w:val="single" w:color="000000" w:sz="4" w:space="0"/>
              <w:right w:val="single" w:color="000000" w:sz="4" w:space="0"/>
            </w:tcBorders>
            <w:shd w:val="clear" w:color="auto" w:fill="auto"/>
            <w:vAlign w:val="center"/>
          </w:tcPr>
          <w:p w14:paraId="01F380C3">
            <w:pPr>
              <w:jc w:val="both"/>
              <w:rPr>
                <w:rFonts w:hint="eastAsia" w:ascii="宋体" w:hAnsi="宋体" w:eastAsia="宋体" w:cs="宋体"/>
                <w:i w:val="0"/>
                <w:iCs w:val="0"/>
                <w:color w:val="000000"/>
                <w:sz w:val="22"/>
                <w:szCs w:val="22"/>
                <w:u w:val="none"/>
              </w:rPr>
            </w:pPr>
          </w:p>
        </w:tc>
      </w:tr>
      <w:tr w14:paraId="15DB1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C671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地方财政资金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DA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6D4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33B2B4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000000" w:sz="4" w:space="0"/>
              <w:left w:val="single" w:color="000000" w:sz="4" w:space="0"/>
              <w:bottom w:val="single" w:color="auto" w:sz="4" w:space="0"/>
              <w:right w:val="single" w:color="000000" w:sz="4" w:space="0"/>
            </w:tcBorders>
            <w:shd w:val="clear" w:color="auto" w:fill="auto"/>
            <w:vAlign w:val="center"/>
          </w:tcPr>
          <w:p w14:paraId="7D396D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22EB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60" w:type="dxa"/>
            <w:vMerge w:val="continue"/>
            <w:tcBorders>
              <w:top w:val="single" w:color="000000" w:sz="4" w:space="0"/>
              <w:left w:val="nil"/>
              <w:bottom w:val="single" w:color="000000" w:sz="4" w:space="0"/>
              <w:right w:val="single" w:color="000000" w:sz="4" w:space="0"/>
            </w:tcBorders>
            <w:shd w:val="clear" w:color="auto" w:fill="auto"/>
            <w:vAlign w:val="center"/>
          </w:tcPr>
          <w:p w14:paraId="03A41240">
            <w:pPr>
              <w:jc w:val="both"/>
              <w:rPr>
                <w:rFonts w:hint="eastAsia" w:ascii="宋体" w:hAnsi="宋体" w:eastAsia="宋体" w:cs="宋体"/>
                <w:i w:val="0"/>
                <w:iCs w:val="0"/>
                <w:color w:val="000000"/>
                <w:sz w:val="22"/>
                <w:szCs w:val="22"/>
                <w:u w:val="none"/>
              </w:rPr>
            </w:pPr>
          </w:p>
        </w:tc>
      </w:tr>
      <w:tr w14:paraId="4B7B0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F8F2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BF35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142A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14:paraId="1D7D53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auto" w:sz="4" w:space="0"/>
              <w:left w:val="single" w:color="000000" w:sz="4" w:space="0"/>
              <w:bottom w:val="single" w:color="000000" w:sz="4" w:space="0"/>
              <w:right w:val="single" w:color="000000" w:sz="4" w:space="0"/>
            </w:tcBorders>
            <w:shd w:val="clear" w:color="auto" w:fill="auto"/>
            <w:vAlign w:val="center"/>
          </w:tcPr>
          <w:p w14:paraId="17E746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CC57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60" w:type="dxa"/>
            <w:vMerge w:val="continue"/>
            <w:tcBorders>
              <w:top w:val="single" w:color="000000" w:sz="4" w:space="0"/>
              <w:left w:val="nil"/>
              <w:bottom w:val="single" w:color="000000" w:sz="4" w:space="0"/>
              <w:right w:val="single" w:color="000000" w:sz="4" w:space="0"/>
            </w:tcBorders>
            <w:shd w:val="clear" w:color="auto" w:fill="auto"/>
            <w:vAlign w:val="center"/>
          </w:tcPr>
          <w:p w14:paraId="53B57A67">
            <w:pPr>
              <w:jc w:val="both"/>
              <w:rPr>
                <w:rFonts w:hint="eastAsia" w:ascii="宋体" w:hAnsi="宋体" w:eastAsia="宋体" w:cs="宋体"/>
                <w:i w:val="0"/>
                <w:iCs w:val="0"/>
                <w:color w:val="000000"/>
                <w:sz w:val="22"/>
                <w:szCs w:val="22"/>
                <w:u w:val="none"/>
              </w:rPr>
            </w:pPr>
          </w:p>
        </w:tc>
      </w:tr>
      <w:tr w14:paraId="7041A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0" w:type="auto"/>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A6DD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资金管理情况</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DE86C7">
            <w:pPr>
              <w:jc w:val="left"/>
              <w:rPr>
                <w:rFonts w:hint="eastAsia" w:ascii="宋体" w:hAnsi="宋体" w:eastAsia="宋体" w:cs="宋体"/>
                <w:i w:val="0"/>
                <w:iCs w:val="0"/>
                <w:color w:val="000000"/>
                <w:sz w:val="22"/>
                <w:szCs w:val="22"/>
                <w:u w:val="none"/>
              </w:rPr>
            </w:pPr>
          </w:p>
        </w:tc>
        <w:tc>
          <w:tcPr>
            <w:tcW w:w="0" w:type="auto"/>
            <w:gridSpan w:val="2"/>
            <w:tcBorders>
              <w:top w:val="single" w:color="000000" w:sz="4" w:space="0"/>
              <w:left w:val="single" w:color="000000" w:sz="4" w:space="0"/>
              <w:bottom w:val="single" w:color="000000" w:sz="4" w:space="0"/>
              <w:right w:val="nil"/>
            </w:tcBorders>
            <w:shd w:val="clear" w:color="auto" w:fill="auto"/>
            <w:vAlign w:val="center"/>
          </w:tcPr>
          <w:p w14:paraId="6FAC57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情况说明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968A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B8B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9C3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存在问题和改进措施</w:t>
            </w:r>
          </w:p>
        </w:tc>
      </w:tr>
      <w:tr w14:paraId="359AE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C3382">
            <w:pPr>
              <w:jc w:val="center"/>
              <w:rPr>
                <w:rFonts w:hint="eastAsia" w:ascii="宋体" w:hAnsi="宋体" w:eastAsia="宋体" w:cs="宋体"/>
                <w:i w:val="0"/>
                <w:iCs w:val="0"/>
                <w:color w:val="000000"/>
                <w:sz w:val="22"/>
                <w:szCs w:val="22"/>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9ABA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分配科学性</w:t>
            </w:r>
          </w:p>
        </w:tc>
        <w:tc>
          <w:tcPr>
            <w:tcW w:w="0" w:type="auto"/>
            <w:gridSpan w:val="2"/>
            <w:tcBorders>
              <w:top w:val="single" w:color="000000" w:sz="4" w:space="0"/>
              <w:left w:val="single" w:color="000000" w:sz="4" w:space="0"/>
              <w:bottom w:val="single" w:color="000000" w:sz="4" w:space="0"/>
              <w:right w:val="nil"/>
            </w:tcBorders>
            <w:shd w:val="clear" w:color="auto" w:fill="auto"/>
            <w:vAlign w:val="center"/>
          </w:tcPr>
          <w:p w14:paraId="61B05F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严格按照转移支付管理制度以及资金管理办法规定范围和标准分配资金。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6FDE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04D3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C23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6F8D6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6921A">
            <w:pPr>
              <w:jc w:val="center"/>
              <w:rPr>
                <w:rFonts w:hint="eastAsia" w:ascii="宋体" w:hAnsi="宋体" w:eastAsia="宋体" w:cs="宋体"/>
                <w:i w:val="0"/>
                <w:iCs w:val="0"/>
                <w:color w:val="000000"/>
                <w:sz w:val="22"/>
                <w:szCs w:val="22"/>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45EA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下达及时性</w:t>
            </w:r>
          </w:p>
        </w:tc>
        <w:tc>
          <w:tcPr>
            <w:tcW w:w="0" w:type="auto"/>
            <w:gridSpan w:val="2"/>
            <w:tcBorders>
              <w:top w:val="single" w:color="000000" w:sz="4" w:space="0"/>
              <w:left w:val="single" w:color="000000" w:sz="4" w:space="0"/>
              <w:bottom w:val="single" w:color="000000" w:sz="4" w:space="0"/>
              <w:right w:val="nil"/>
            </w:tcBorders>
            <w:shd w:val="clear" w:color="auto" w:fill="auto"/>
            <w:vAlign w:val="center"/>
          </w:tcPr>
          <w:p w14:paraId="2162FD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严格按照预算法及其实施条例、转移支付管理制度规定以及资金管理办法规定的时限要求及时下达。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7773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C8B5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AD6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04C57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FB98A">
            <w:pPr>
              <w:jc w:val="center"/>
              <w:rPr>
                <w:rFonts w:hint="eastAsia" w:ascii="宋体" w:hAnsi="宋体" w:eastAsia="宋体" w:cs="宋体"/>
                <w:i w:val="0"/>
                <w:iCs w:val="0"/>
                <w:color w:val="000000"/>
                <w:sz w:val="22"/>
                <w:szCs w:val="22"/>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823A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拨付合规性</w:t>
            </w:r>
          </w:p>
        </w:tc>
        <w:tc>
          <w:tcPr>
            <w:tcW w:w="0" w:type="auto"/>
            <w:gridSpan w:val="2"/>
            <w:tcBorders>
              <w:top w:val="single" w:color="000000" w:sz="4" w:space="0"/>
              <w:left w:val="single" w:color="000000" w:sz="4" w:space="0"/>
              <w:bottom w:val="single" w:color="000000" w:sz="4" w:space="0"/>
              <w:right w:val="nil"/>
            </w:tcBorders>
            <w:shd w:val="clear" w:color="auto" w:fill="auto"/>
            <w:vAlign w:val="center"/>
          </w:tcPr>
          <w:p w14:paraId="07B85A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严格按照国库集中支付制度有关规定支付资金，未出现违规将资金从国库转入财政专户或支付到预算单位实有资金账户等问题。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5054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8FAE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12A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59581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48D65">
            <w:pPr>
              <w:jc w:val="center"/>
              <w:rPr>
                <w:rFonts w:hint="eastAsia" w:ascii="宋体" w:hAnsi="宋体" w:eastAsia="宋体" w:cs="宋体"/>
                <w:i w:val="0"/>
                <w:iCs w:val="0"/>
                <w:color w:val="000000"/>
                <w:sz w:val="22"/>
                <w:szCs w:val="22"/>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672E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使用规范性</w:t>
            </w:r>
          </w:p>
        </w:tc>
        <w:tc>
          <w:tcPr>
            <w:tcW w:w="0" w:type="auto"/>
            <w:gridSpan w:val="2"/>
            <w:tcBorders>
              <w:top w:val="single" w:color="000000" w:sz="4" w:space="0"/>
              <w:left w:val="single" w:color="000000" w:sz="4" w:space="0"/>
              <w:bottom w:val="single" w:color="000000" w:sz="4" w:space="0"/>
              <w:right w:val="nil"/>
            </w:tcBorders>
            <w:shd w:val="clear" w:color="auto" w:fill="auto"/>
            <w:vAlign w:val="center"/>
          </w:tcPr>
          <w:p w14:paraId="324A6D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严格按照下达预算的科目和项目执行，未出现截留、挤占、挪用或擅自调整等问题。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FC53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1867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462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0B549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799EC">
            <w:pPr>
              <w:jc w:val="center"/>
              <w:rPr>
                <w:rFonts w:hint="eastAsia" w:ascii="宋体" w:hAnsi="宋体" w:eastAsia="宋体" w:cs="宋体"/>
                <w:i w:val="0"/>
                <w:iCs w:val="0"/>
                <w:color w:val="000000"/>
                <w:sz w:val="22"/>
                <w:szCs w:val="22"/>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D577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执行准确性</w:t>
            </w:r>
          </w:p>
        </w:tc>
        <w:tc>
          <w:tcPr>
            <w:tcW w:w="0" w:type="auto"/>
            <w:gridSpan w:val="2"/>
            <w:tcBorders>
              <w:top w:val="single" w:color="000000" w:sz="4" w:space="0"/>
              <w:left w:val="single" w:color="000000" w:sz="4" w:space="0"/>
              <w:bottom w:val="single" w:color="000000" w:sz="4" w:space="0"/>
              <w:right w:val="nil"/>
            </w:tcBorders>
            <w:shd w:val="clear" w:color="auto" w:fill="auto"/>
            <w:vAlign w:val="center"/>
          </w:tcPr>
          <w:p w14:paraId="27B628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按照上级下达和本级预算安排的金额执行，不存在执行数偏离预算数较多的问题。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25FB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745A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836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3FC70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8037B">
            <w:pPr>
              <w:jc w:val="center"/>
              <w:rPr>
                <w:rFonts w:hint="eastAsia" w:ascii="宋体" w:hAnsi="宋体" w:eastAsia="宋体" w:cs="宋体"/>
                <w:i w:val="0"/>
                <w:iCs w:val="0"/>
                <w:color w:val="000000"/>
                <w:sz w:val="22"/>
                <w:szCs w:val="22"/>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9438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预算绩效管理情况</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355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在细化下达预算时同步下达绩效目标，将有关资金纳入本级预算支付绩效管理，开展绩效监控和绩效评价。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2077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34C0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60" w:type="dxa"/>
            <w:tcBorders>
              <w:top w:val="nil"/>
              <w:left w:val="single" w:color="000000" w:sz="4" w:space="0"/>
              <w:bottom w:val="single" w:color="000000" w:sz="4" w:space="0"/>
              <w:right w:val="single" w:color="000000" w:sz="4" w:space="0"/>
            </w:tcBorders>
            <w:shd w:val="clear" w:color="auto" w:fill="auto"/>
            <w:vAlign w:val="center"/>
          </w:tcPr>
          <w:p w14:paraId="079E8B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498F6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E5214">
            <w:pPr>
              <w:jc w:val="center"/>
              <w:rPr>
                <w:rFonts w:hint="eastAsia" w:ascii="宋体" w:hAnsi="宋体" w:eastAsia="宋体" w:cs="宋体"/>
                <w:i w:val="0"/>
                <w:iCs w:val="0"/>
                <w:color w:val="000000"/>
                <w:sz w:val="22"/>
                <w:szCs w:val="22"/>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EFC3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支出责任履行情况</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BDF0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中央支持地方公共文化服务体系建设补助资金不属于共同财政事权转移支付，无需安排配套资金。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8484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791D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5D4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r>
      <w:tr w14:paraId="79FF4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BE72A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EBB0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0563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FEB5E">
            <w:pPr>
              <w:jc w:val="center"/>
              <w:rPr>
                <w:rFonts w:hint="eastAsia" w:ascii="宋体" w:hAnsi="宋体" w:eastAsia="宋体" w:cs="宋体"/>
                <w:i w:val="0"/>
                <w:iCs w:val="0"/>
                <w:color w:val="000000"/>
                <w:sz w:val="22"/>
                <w:szCs w:val="22"/>
                <w:u w:val="none"/>
              </w:rPr>
            </w:pPr>
          </w:p>
        </w:tc>
      </w:tr>
      <w:tr w14:paraId="5CCD5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51A2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总体目标完成情况</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96C3F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总体目标</w:t>
            </w:r>
          </w:p>
        </w:tc>
        <w:tc>
          <w:tcPr>
            <w:tcW w:w="48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B08BF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全年实际完成情况</w:t>
            </w:r>
          </w:p>
        </w:tc>
      </w:tr>
      <w:tr w14:paraId="55312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AA5A9">
            <w:pPr>
              <w:jc w:val="center"/>
              <w:rPr>
                <w:rFonts w:hint="eastAsia" w:ascii="宋体" w:hAnsi="宋体" w:eastAsia="宋体" w:cs="宋体"/>
                <w:i w:val="0"/>
                <w:iCs w:val="0"/>
                <w:color w:val="000000"/>
                <w:sz w:val="22"/>
                <w:szCs w:val="22"/>
                <w:u w:val="none"/>
              </w:rPr>
            </w:pP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0B46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45个健身场地器材补短板工程项目，每个项目中央补助20万元，用于乡镇（街道）购置篮球架、足球门、排球（羽毛球）柱、笼式球场围网、乒乓球台、全民健身路径等器材设备，形成室外健身场地面积不小于700平方米的多功能运动场地</w:t>
            </w:r>
          </w:p>
        </w:tc>
        <w:tc>
          <w:tcPr>
            <w:tcW w:w="48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9E30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截至目前，44个乡镇（街道）补短板工程项目全部于2025年底完工，项目按期完成率达到97%（克拉玛依区胜利路街道全民健身场地器材补短板工程项目包含室外健身器材及地面专用材料铺装，现已完成全部室外器材安装，地面材料部分因气温低，材料不便施工，为保证项目质量，待2026年气温转暖后进行施工并完成后续费用支付），项目的实施有效弥补了乡镇（街道）全民健身场地器材短板。</w:t>
            </w:r>
          </w:p>
        </w:tc>
      </w:tr>
      <w:tr w14:paraId="31E7B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CA965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6827C0">
            <w:pPr>
              <w:keepNext w:val="0"/>
              <w:keepLines w:val="0"/>
              <w:widowControl/>
              <w:suppressLineNumbers w:val="0"/>
              <w:jc w:val="center"/>
              <w:textAlignment w:val="center"/>
              <w:rPr>
                <w:rFonts w:hint="eastAsia" w:ascii="宋体" w:hAnsi="宋体" w:eastAsia="宋体" w:cs="宋体"/>
                <w:i w:val="0"/>
                <w:iCs w:val="0"/>
                <w:color w:val="FFFFFF"/>
                <w:sz w:val="22"/>
                <w:szCs w:val="22"/>
                <w:u w:val="none"/>
              </w:rPr>
            </w:pPr>
            <w:r>
              <w:rPr>
                <w:rFonts w:hint="eastAsia" w:ascii="宋体" w:hAnsi="宋体" w:eastAsia="宋体" w:cs="宋体"/>
                <w:i w:val="0"/>
                <w:iCs w:val="0"/>
                <w:color w:val="FFFFFF"/>
                <w:kern w:val="0"/>
                <w:sz w:val="22"/>
                <w:szCs w:val="22"/>
                <w:u w:val="none"/>
                <w:lang w:val="en-US" w:eastAsia="zh-CN" w:bidi="ar"/>
              </w:rPr>
              <w:t>一级</w:t>
            </w:r>
            <w:r>
              <w:rPr>
                <w:rFonts w:hint="eastAsia" w:ascii="宋体" w:hAnsi="宋体" w:eastAsia="宋体" w:cs="宋体"/>
                <w:i w:val="0"/>
                <w:iCs w:val="0"/>
                <w:color w:val="FFFFFF"/>
                <w:kern w:val="0"/>
                <w:sz w:val="22"/>
                <w:szCs w:val="22"/>
                <w:u w:val="none"/>
                <w:lang w:val="en-US" w:eastAsia="zh-CN" w:bidi="ar"/>
              </w:rPr>
              <w:br w:type="textWrapping"/>
            </w:r>
            <w:r>
              <w:rPr>
                <w:rFonts w:hint="eastAsia" w:ascii="宋体" w:hAnsi="宋体" w:eastAsia="宋体" w:cs="宋体"/>
                <w:i w:val="0"/>
                <w:iCs w:val="0"/>
                <w:color w:val="FFFFFF"/>
                <w:kern w:val="0"/>
                <w:sz w:val="22"/>
                <w:szCs w:val="22"/>
                <w:u w:val="none"/>
                <w:lang w:val="en-US" w:eastAsia="zh-CN" w:bidi="ar"/>
              </w:rPr>
              <w:t>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5CC0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5F7D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A3FD7F">
            <w:pPr>
              <w:keepNext w:val="0"/>
              <w:keepLines w:val="0"/>
              <w:widowControl/>
              <w:suppressLineNumbers w:val="0"/>
              <w:ind w:firstLineChars="10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B045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全年实际完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16C4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E402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w:t>
            </w:r>
          </w:p>
        </w:tc>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36A9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未完成原因和改进措施</w:t>
            </w:r>
          </w:p>
        </w:tc>
      </w:tr>
      <w:tr w14:paraId="6A40F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DF00F7C">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F519C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515C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6550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实施健身场地器材补短板工程个数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DEB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BD6B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B327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F1F5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7.82</w:t>
            </w:r>
          </w:p>
        </w:tc>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4DF1D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未完成原因：克拉玛依区胜利路街道项目包含室外健身器材及地面专用材料铺装，2025年底室外设施已安装完毕，由于气温降低不利用地面材料铺设，需2026年开春后施工及支付资金。</w:t>
            </w:r>
          </w:p>
          <w:p w14:paraId="1D0604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改进措施：自治区体育局将通过按月调度、实地调研指导、下发整改通知等方式，指导县级体育部门加快推进项目建设，督促完成资金支出。</w:t>
            </w:r>
          </w:p>
        </w:tc>
      </w:tr>
      <w:tr w14:paraId="07C41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A1030BE">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D2F88D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326A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BB96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政府采购率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41B0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DE00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9EAE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390D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 </w:t>
            </w:r>
          </w:p>
        </w:tc>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069BCE">
            <w:pPr>
              <w:jc w:val="left"/>
              <w:rPr>
                <w:rFonts w:hint="eastAsia" w:ascii="宋体" w:hAnsi="宋体" w:eastAsia="宋体" w:cs="宋体"/>
                <w:i w:val="0"/>
                <w:iCs w:val="0"/>
                <w:color w:val="000000"/>
                <w:sz w:val="22"/>
                <w:szCs w:val="22"/>
                <w:u w:val="none"/>
              </w:rPr>
            </w:pPr>
          </w:p>
        </w:tc>
      </w:tr>
      <w:tr w14:paraId="57B71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7A3482A">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AA694A8">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22D5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008F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项目完成时间</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39FB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2025年12月31日前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0D9B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97.78%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F244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68DF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39FC1">
            <w:pPr>
              <w:jc w:val="left"/>
              <w:rPr>
                <w:rFonts w:hint="eastAsia" w:ascii="宋体" w:hAnsi="宋体" w:eastAsia="宋体" w:cs="宋体"/>
                <w:i w:val="0"/>
                <w:iCs w:val="0"/>
                <w:color w:val="000000"/>
                <w:sz w:val="22"/>
                <w:szCs w:val="22"/>
                <w:u w:val="none"/>
              </w:rPr>
            </w:pPr>
          </w:p>
        </w:tc>
      </w:tr>
      <w:tr w14:paraId="7365E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3EBDD53">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FCCFB21">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D679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C9AA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项目按期完成率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6FA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F05C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97.78%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7EFE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D649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FCC44">
            <w:pPr>
              <w:jc w:val="left"/>
              <w:rPr>
                <w:rFonts w:hint="eastAsia" w:ascii="宋体" w:hAnsi="宋体" w:eastAsia="宋体" w:cs="宋体"/>
                <w:i w:val="0"/>
                <w:iCs w:val="0"/>
                <w:color w:val="000000"/>
                <w:sz w:val="22"/>
                <w:szCs w:val="22"/>
                <w:u w:val="none"/>
              </w:rPr>
            </w:pPr>
          </w:p>
        </w:tc>
      </w:tr>
      <w:tr w14:paraId="02B8B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AD48C6">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726D81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91BF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6DE2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每个健身场地器材补短板工程项目支出成本</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005B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DD1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DEA4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8F58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49AB6">
            <w:pPr>
              <w:jc w:val="left"/>
              <w:rPr>
                <w:rFonts w:hint="eastAsia" w:ascii="宋体" w:hAnsi="宋体" w:eastAsia="宋体" w:cs="宋体"/>
                <w:i w:val="0"/>
                <w:iCs w:val="0"/>
                <w:color w:val="000000"/>
                <w:sz w:val="22"/>
                <w:szCs w:val="22"/>
                <w:u w:val="none"/>
              </w:rPr>
            </w:pPr>
          </w:p>
        </w:tc>
      </w:tr>
      <w:tr w14:paraId="46B35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ACDA3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1084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A19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A9E0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设备利用率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9939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1770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286D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1973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22EC85">
            <w:pPr>
              <w:jc w:val="left"/>
              <w:rPr>
                <w:rFonts w:hint="eastAsia" w:ascii="宋体" w:hAnsi="宋体" w:eastAsia="宋体" w:cs="宋体"/>
                <w:i w:val="0"/>
                <w:iCs w:val="0"/>
                <w:color w:val="000000"/>
                <w:sz w:val="22"/>
                <w:szCs w:val="22"/>
                <w:u w:val="none"/>
              </w:rPr>
            </w:pPr>
          </w:p>
        </w:tc>
      </w:tr>
      <w:tr w14:paraId="4DE3B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B8446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738E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度指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773A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2201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使用群众满意度</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C31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B979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9715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8390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65111">
            <w:pPr>
              <w:jc w:val="left"/>
              <w:rPr>
                <w:rFonts w:hint="eastAsia" w:ascii="宋体" w:hAnsi="宋体" w:eastAsia="宋体" w:cs="宋体"/>
                <w:i w:val="0"/>
                <w:iCs w:val="0"/>
                <w:color w:val="000000"/>
                <w:sz w:val="22"/>
                <w:szCs w:val="22"/>
                <w:u w:val="none"/>
              </w:rPr>
            </w:pPr>
          </w:p>
        </w:tc>
      </w:tr>
      <w:tr w14:paraId="12F66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 w:hRule="atLeast"/>
        </w:trPr>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F03E3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AD80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43D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49.82 </w:t>
            </w:r>
          </w:p>
        </w:tc>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9DC09">
            <w:pPr>
              <w:jc w:val="center"/>
              <w:rPr>
                <w:rFonts w:hint="eastAsia" w:ascii="宋体" w:hAnsi="宋体" w:eastAsia="宋体" w:cs="宋体"/>
                <w:i w:val="0"/>
                <w:iCs w:val="0"/>
                <w:color w:val="000000"/>
                <w:sz w:val="22"/>
                <w:szCs w:val="22"/>
                <w:u w:val="none"/>
              </w:rPr>
            </w:pPr>
          </w:p>
        </w:tc>
      </w:tr>
      <w:tr w14:paraId="1124E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B0106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310C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9EDD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99.4</w:t>
            </w:r>
          </w:p>
        </w:tc>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2B4DFC">
            <w:pPr>
              <w:jc w:val="center"/>
              <w:rPr>
                <w:rFonts w:hint="eastAsia" w:ascii="宋体" w:hAnsi="宋体" w:eastAsia="宋体" w:cs="宋体"/>
                <w:i w:val="0"/>
                <w:iCs w:val="0"/>
                <w:color w:val="000000"/>
                <w:sz w:val="22"/>
                <w:szCs w:val="22"/>
                <w:u w:val="none"/>
              </w:rPr>
            </w:pPr>
          </w:p>
        </w:tc>
      </w:tr>
    </w:tbl>
    <w:p w14:paraId="21F2ECD6">
      <w:pPr>
        <w:keepNext w:val="0"/>
        <w:keepLines w:val="0"/>
        <w:pageBreakBefore w:val="0"/>
        <w:widowControl w:val="0"/>
        <w:kinsoku/>
        <w:wordWrap/>
        <w:overflowPunct/>
        <w:topLinePunct w:val="0"/>
        <w:bidi w:val="0"/>
        <w:spacing w:line="560" w:lineRule="exact"/>
        <w:ind w:firstLine="600"/>
        <w:jc w:val="center"/>
        <w:textAlignment w:val="auto"/>
        <w:rPr>
          <w:rFonts w:hint="default" w:ascii="Times New Roman" w:hAnsi="Times New Roman" w:cs="Times New Roman" w:eastAsiaTheme="minorEastAsia"/>
          <w:b/>
          <w:bCs/>
          <w:sz w:val="21"/>
          <w:szCs w:val="21"/>
        </w:rPr>
      </w:pPr>
    </w:p>
    <w:p w14:paraId="3E2E9D67"/>
    <w:sectPr>
      <w:footerReference r:id="rId3" w:type="default"/>
      <w:pgSz w:w="11906" w:h="16838"/>
      <w:pgMar w:top="2098" w:right="1531" w:bottom="1984"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00807BF-647D-42D8-BDD2-217867EB6E5E}"/>
  </w:font>
  <w:font w:name="黑体">
    <w:panose1 w:val="02010609060101010101"/>
    <w:charset w:val="86"/>
    <w:family w:val="auto"/>
    <w:pitch w:val="default"/>
    <w:sig w:usb0="800002BF" w:usb1="38CF7CFA" w:usb2="00000016" w:usb3="00000000" w:csb0="00040001" w:csb1="00000000"/>
    <w:embedRegular r:id="rId2" w:fontKey="{5A54F1D8-8515-4850-A1CF-C3DED7D602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01BAF5F4-1601-41F7-A02C-6CAFD0B5822A}"/>
  </w:font>
  <w:font w:name="仿宋_GB2312">
    <w:panose1 w:val="02010609030101010101"/>
    <w:charset w:val="86"/>
    <w:family w:val="modern"/>
    <w:pitch w:val="default"/>
    <w:sig w:usb0="00000001" w:usb1="080E0000" w:usb2="00000000" w:usb3="00000000" w:csb0="00040000" w:csb1="00000000"/>
    <w:embedRegular r:id="rId4" w:fontKey="{217710C4-FF0A-44A5-AFCC-238E30DB2D2C}"/>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5" w:fontKey="{C1E1DE6E-97F2-4FB7-A6D6-330F0E1FEAF6}"/>
  </w:font>
  <w:font w:name="HYb2gj">
    <w:altName w:val="仿宋"/>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embedRegular r:id="rId6" w:fontKey="{EFE3F45E-2B0C-42C4-B6CE-81FDDC6C1411}"/>
  </w:font>
  <w:font w:name="楷体">
    <w:panose1 w:val="02010609060101010101"/>
    <w:charset w:val="86"/>
    <w:family w:val="modern"/>
    <w:pitch w:val="default"/>
    <w:sig w:usb0="800002BF" w:usb1="38CF7CFA" w:usb2="00000016" w:usb3="00000000" w:csb0="00040001" w:csb1="00000000"/>
    <w:embedRegular r:id="rId7" w:fontKey="{7AA10405-D05F-4763-AE93-9387DE15A54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A333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E45B20">
                          <w:pPr>
                            <w:pStyle w:val="5"/>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E45B20">
                    <w:pPr>
                      <w:pStyle w:val="5"/>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DE5618"/>
    <w:rsid w:val="494168BE"/>
    <w:rsid w:val="4D065C8C"/>
    <w:rsid w:val="57764D33"/>
    <w:rsid w:val="68DE5618"/>
    <w:rsid w:val="69F73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index 5"/>
    <w:basedOn w:val="1"/>
    <w:next w:val="1"/>
    <w:qFormat/>
    <w:uiPriority w:val="0"/>
    <w:pPr>
      <w:ind w:left="1680"/>
    </w:pPr>
  </w:style>
  <w:style w:type="paragraph" w:styleId="4">
    <w:name w:val="Body Text"/>
    <w:basedOn w:val="1"/>
    <w:semiHidden/>
    <w:qFormat/>
    <w:uiPriority w:val="0"/>
    <w:rPr>
      <w:rFonts w:ascii="仿宋" w:hAnsi="仿宋" w:eastAsia="仿宋" w:cs="仿宋"/>
      <w:sz w:val="32"/>
      <w:szCs w:val="32"/>
      <w:lang w:val="en-US" w:eastAsia="en-US" w:bidi="ar-SA"/>
    </w:rPr>
  </w:style>
  <w:style w:type="paragraph" w:styleId="5">
    <w:name w:val="footer"/>
    <w:basedOn w:val="1"/>
    <w:qFormat/>
    <w:uiPriority w:val="0"/>
    <w:pPr>
      <w:tabs>
        <w:tab w:val="center" w:pos="4153"/>
        <w:tab w:val="right" w:pos="8306"/>
      </w:tabs>
      <w:snapToGrid w:val="0"/>
      <w:jc w:val="left"/>
    </w:pPr>
    <w:rPr>
      <w:sz w:val="18"/>
      <w:szCs w:val="18"/>
    </w:rPr>
  </w:style>
  <w:style w:type="character" w:customStyle="1" w:styleId="8">
    <w:name w:val="font212"/>
    <w:basedOn w:val="7"/>
    <w:qFormat/>
    <w:uiPriority w:val="0"/>
    <w:rPr>
      <w:rFonts w:ascii="方正小标宋_GBK" w:hAnsi="方正小标宋_GBK" w:eastAsia="方正小标宋_GBK" w:cs="方正小标宋_GBK"/>
      <w:color w:val="000000"/>
      <w:sz w:val="36"/>
      <w:szCs w:val="36"/>
      <w:u w:val="none"/>
    </w:rPr>
  </w:style>
  <w:style w:type="character" w:customStyle="1" w:styleId="9">
    <w:name w:val="font221"/>
    <w:basedOn w:val="7"/>
    <w:qFormat/>
    <w:uiPriority w:val="0"/>
    <w:rPr>
      <w:rFonts w:hint="default" w:ascii="Times New Roman" w:hAnsi="Times New Roman" w:cs="Times New Roman"/>
      <w:b/>
      <w:bCs/>
      <w:color w:val="000000"/>
      <w:sz w:val="22"/>
      <w:szCs w:val="22"/>
      <w:u w:val="none"/>
    </w:rPr>
  </w:style>
  <w:style w:type="character" w:customStyle="1" w:styleId="10">
    <w:name w:val="font21"/>
    <w:basedOn w:val="7"/>
    <w:qFormat/>
    <w:uiPriority w:val="0"/>
    <w:rPr>
      <w:rFonts w:hint="eastAsia" w:ascii="宋体" w:hAnsi="宋体" w:eastAsia="宋体" w:cs="宋体"/>
      <w:b/>
      <w:bCs/>
      <w:color w:val="000000"/>
      <w:sz w:val="28"/>
      <w:szCs w:val="28"/>
      <w:u w:val="none"/>
    </w:rPr>
  </w:style>
  <w:style w:type="character" w:customStyle="1" w:styleId="11">
    <w:name w:val="font41"/>
    <w:basedOn w:val="7"/>
    <w:qFormat/>
    <w:uiPriority w:val="0"/>
    <w:rPr>
      <w:rFonts w:hint="default" w:ascii="Times New Roman" w:hAnsi="Times New Roman" w:cs="Times New Roman"/>
      <w:color w:val="000000"/>
      <w:sz w:val="24"/>
      <w:szCs w:val="24"/>
      <w:u w:val="none"/>
    </w:rPr>
  </w:style>
  <w:style w:type="character" w:customStyle="1" w:styleId="12">
    <w:name w:val="font61"/>
    <w:basedOn w:val="7"/>
    <w:qFormat/>
    <w:uiPriority w:val="0"/>
    <w:rPr>
      <w:rFonts w:hint="default" w:ascii="Times New Roman" w:hAnsi="Times New Roman" w:cs="Times New Roman"/>
      <w:color w:val="000000"/>
      <w:sz w:val="24"/>
      <w:szCs w:val="24"/>
      <w:u w:val="none"/>
    </w:rPr>
  </w:style>
  <w:style w:type="paragraph" w:customStyle="1" w:styleId="13">
    <w:name w:val="Default"/>
    <w:next w:val="3"/>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character" w:customStyle="1" w:styleId="14">
    <w:name w:val="font31"/>
    <w:basedOn w:val="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5148</Words>
  <Characters>5763</Characters>
  <Lines>0</Lines>
  <Paragraphs>0</Paragraphs>
  <TotalTime>4</TotalTime>
  <ScaleCrop>false</ScaleCrop>
  <LinksUpToDate>false</LinksUpToDate>
  <CharactersWithSpaces>5779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2026-03-24T05:55:00Z</dcterms:created>
  <dc:creator>左先生</dc:creator>
  <cp:lastModifiedBy>U</cp:lastModifiedBy>
  <dcterms:modified xsi:type="dcterms:W3CDTF">2026-09-08T02:42:56Z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6C45506BA0804B07B30354801ADF9981_11</vt:lpwstr>
  </property>
  <property fmtid="{D5CDD505-2E9C-101B-9397-08002B2CF9AE}" pid="4" name="KSOTemplateDocerSaveRecord">
    <vt:lpwstr>eyJoZGlkIjoiMzEwNTM5NzYwMDRjMzkwZTVkZjY2ODkwMGIxNGU0OTUiLCJ1c2VySWQiOiIyNDE2NzgwOTkifQ==</vt:lpwstr>
  </property>
</Properties>
</file>