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A6F2B">
      <w:pPr>
        <w:spacing w:line="600" w:lineRule="exact"/>
        <w:jc w:val="center"/>
        <w:rPr>
          <w:rFonts w:ascii="宋体" w:hAnsi="宋体" w:eastAsia="宋体" w:cs="Arial"/>
          <w:b/>
          <w:bCs/>
          <w:sz w:val="36"/>
          <w:szCs w:val="36"/>
        </w:rPr>
      </w:pPr>
    </w:p>
    <w:p w14:paraId="2CB932AF">
      <w:pPr>
        <w:spacing w:line="600" w:lineRule="exact"/>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项目支出绩效评价报告</w:t>
      </w:r>
    </w:p>
    <w:p w14:paraId="3B8CA8A4">
      <w:pPr>
        <w:spacing w:line="600" w:lineRule="exact"/>
        <w:jc w:val="center"/>
        <w:rPr>
          <w:rFonts w:hAnsi="宋体" w:cs="宋体"/>
          <w:kern w:val="0"/>
          <w:sz w:val="36"/>
          <w:szCs w:val="36"/>
        </w:rPr>
      </w:pPr>
      <w:r>
        <w:rPr>
          <w:rFonts w:hint="eastAsia" w:hAnsi="宋体" w:cs="宋体"/>
          <w:kern w:val="0"/>
          <w:sz w:val="36"/>
          <w:szCs w:val="36"/>
        </w:rPr>
        <w:t>（2025年度）</w:t>
      </w:r>
    </w:p>
    <w:p w14:paraId="70B06B08">
      <w:pPr>
        <w:pStyle w:val="2"/>
        <w:rPr>
          <w:rFonts w:ascii="Times New Roman" w:hAnsi="宋体" w:cs="宋体"/>
          <w:sz w:val="36"/>
          <w:szCs w:val="36"/>
        </w:rPr>
      </w:pPr>
    </w:p>
    <w:p w14:paraId="4BF88D46">
      <w:pPr>
        <w:rPr>
          <w:rFonts w:hAnsi="宋体" w:cs="宋体"/>
          <w:kern w:val="0"/>
          <w:sz w:val="36"/>
          <w:szCs w:val="36"/>
        </w:rPr>
      </w:pPr>
    </w:p>
    <w:p w14:paraId="4C850061">
      <w:pPr>
        <w:pStyle w:val="2"/>
        <w:rPr>
          <w:rFonts w:ascii="Times New Roman" w:hAnsi="宋体" w:cs="宋体"/>
          <w:sz w:val="36"/>
          <w:szCs w:val="36"/>
        </w:rPr>
      </w:pPr>
    </w:p>
    <w:p w14:paraId="70BF22FF">
      <w:pPr>
        <w:pStyle w:val="2"/>
      </w:pPr>
    </w:p>
    <w:p w14:paraId="24175717">
      <w:pPr>
        <w:ind w:left="3840" w:right="750" w:rightChars="250" w:hanging="3840" w:hangingChars="1200"/>
        <w:outlineLvl w:val="0"/>
        <w:rPr>
          <w:rFonts w:ascii="仿宋" w:hAnsi="仿宋" w:eastAsia="仿宋" w:cs="仿宋"/>
          <w:kern w:val="0"/>
          <w:sz w:val="32"/>
          <w:szCs w:val="32"/>
        </w:rPr>
      </w:pPr>
      <w:r>
        <w:rPr>
          <w:rFonts w:hint="eastAsia" w:ascii="仿宋" w:hAnsi="仿宋" w:eastAsia="仿宋" w:cs="仿宋"/>
          <w:kern w:val="0"/>
          <w:sz w:val="32"/>
          <w:szCs w:val="32"/>
        </w:rPr>
        <w:t>项目名称：体育赛事备战专项</w:t>
      </w:r>
    </w:p>
    <w:p w14:paraId="19382FE6">
      <w:pPr>
        <w:jc w:val="left"/>
        <w:outlineLvl w:val="0"/>
        <w:rPr>
          <w:rFonts w:ascii="仿宋" w:hAnsi="仿宋" w:eastAsia="仿宋" w:cs="仿宋"/>
          <w:kern w:val="0"/>
          <w:sz w:val="32"/>
          <w:szCs w:val="32"/>
        </w:rPr>
      </w:pPr>
      <w:r>
        <w:rPr>
          <w:rFonts w:hint="eastAsia" w:ascii="仿宋" w:hAnsi="仿宋" w:eastAsia="仿宋" w:cs="仿宋"/>
          <w:kern w:val="0"/>
          <w:sz w:val="32"/>
          <w:szCs w:val="32"/>
        </w:rPr>
        <w:t>实施单位（公章）：新疆维吾尔自治区足球运动训练中心</w:t>
      </w:r>
    </w:p>
    <w:p w14:paraId="1415DD82">
      <w:pPr>
        <w:ind w:left="3840" w:right="750" w:rightChars="250" w:hanging="3840" w:hangingChars="1200"/>
        <w:outlineLvl w:val="0"/>
        <w:rPr>
          <w:rFonts w:ascii="仿宋" w:hAnsi="仿宋" w:eastAsia="仿宋" w:cs="仿宋"/>
          <w:kern w:val="0"/>
          <w:sz w:val="32"/>
          <w:szCs w:val="32"/>
        </w:rPr>
      </w:pPr>
      <w:r>
        <w:rPr>
          <w:rFonts w:hint="eastAsia" w:ascii="仿宋" w:hAnsi="仿宋" w:eastAsia="仿宋" w:cs="仿宋"/>
          <w:kern w:val="0"/>
          <w:sz w:val="32"/>
          <w:szCs w:val="32"/>
        </w:rPr>
        <w:t>主管部门（公章）：新疆维吾尔自治区体育局</w:t>
      </w:r>
    </w:p>
    <w:p w14:paraId="0455D413">
      <w:pPr>
        <w:ind w:left="3840" w:right="750" w:rightChars="250" w:hanging="3840" w:hangingChars="1200"/>
        <w:outlineLvl w:val="0"/>
        <w:rPr>
          <w:rFonts w:ascii="仿宋" w:hAnsi="仿宋" w:eastAsia="仿宋" w:cs="仿宋"/>
          <w:kern w:val="0"/>
          <w:sz w:val="32"/>
          <w:szCs w:val="32"/>
        </w:rPr>
      </w:pPr>
      <w:r>
        <w:rPr>
          <w:rFonts w:hint="eastAsia" w:ascii="仿宋" w:hAnsi="仿宋" w:eastAsia="仿宋" w:cs="仿宋"/>
          <w:kern w:val="0"/>
          <w:sz w:val="32"/>
          <w:szCs w:val="32"/>
        </w:rPr>
        <w:t>项目负责人（签章）：张云龙</w:t>
      </w:r>
    </w:p>
    <w:p w14:paraId="635352D6">
      <w:pPr>
        <w:rPr>
          <w:rFonts w:ascii="仿宋_GB2312"/>
          <w:szCs w:val="30"/>
        </w:rPr>
      </w:pPr>
      <w:r>
        <w:rPr>
          <w:rFonts w:hint="eastAsia" w:ascii="仿宋" w:hAnsi="仿宋" w:eastAsia="仿宋" w:cs="仿宋"/>
          <w:kern w:val="0"/>
          <w:sz w:val="32"/>
          <w:szCs w:val="32"/>
        </w:rPr>
        <w:t>填报时间：2026年 3月20 日</w:t>
      </w:r>
      <w:r>
        <w:rPr>
          <w:rFonts w:ascii="仿宋_GB2312"/>
          <w:szCs w:val="30"/>
        </w:rPr>
        <w:br w:type="page"/>
      </w:r>
    </w:p>
    <w:p w14:paraId="3B25BDF9">
      <w:pPr>
        <w:spacing w:line="520" w:lineRule="exact"/>
        <w:ind w:firstLine="600" w:firstLineChars="200"/>
        <w:rPr>
          <w:rFonts w:ascii="黑体" w:hAnsi="黑体" w:eastAsia="黑体"/>
        </w:rPr>
      </w:pPr>
      <w:r>
        <w:rPr>
          <w:rFonts w:hint="eastAsia" w:ascii="黑体" w:hAnsi="黑体" w:eastAsia="黑体"/>
        </w:rPr>
        <w:t>一、基本情况</w:t>
      </w:r>
    </w:p>
    <w:p w14:paraId="150400E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（一）项目概况。</w:t>
      </w:r>
    </w:p>
    <w:p w14:paraId="67E6FAB6">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1、项目背景</w:t>
      </w:r>
    </w:p>
    <w:p w14:paraId="74DA0227">
      <w:pPr>
        <w:spacing w:line="560" w:lineRule="exact"/>
        <w:ind w:firstLine="640" w:firstLineChars="200"/>
        <w:rPr>
          <w:rFonts w:ascii="仿宋" w:hAnsi="仿宋" w:eastAsia="仿宋" w:cs="仿宋_GB2312"/>
          <w:sz w:val="32"/>
          <w:szCs w:val="32"/>
        </w:rPr>
      </w:pPr>
      <w:r>
        <w:rPr>
          <w:rFonts w:hint="eastAsia" w:ascii="仿宋" w:hAnsi="仿宋" w:eastAsia="仿宋" w:cs="宋体"/>
          <w:sz w:val="32"/>
          <w:szCs w:val="32"/>
        </w:rPr>
        <w:t>新疆维吾尔</w:t>
      </w:r>
      <w:r>
        <w:rPr>
          <w:rFonts w:hint="eastAsia" w:ascii="仿宋" w:hAnsi="仿宋" w:eastAsia="仿宋" w:cs="宋体"/>
          <w:sz w:val="32"/>
          <w:szCs w:val="32"/>
          <w:shd w:val="clear" w:color="auto" w:fill="FFFFFF"/>
        </w:rPr>
        <w:t>自治区足球运动训练中心</w:t>
      </w:r>
      <w:r>
        <w:rPr>
          <w:rFonts w:hint="eastAsia" w:ascii="仿宋" w:hAnsi="仿宋" w:eastAsia="仿宋" w:cs="宋体"/>
          <w:sz w:val="32"/>
          <w:szCs w:val="32"/>
        </w:rPr>
        <w:t>，其前身是</w:t>
      </w:r>
      <w:r>
        <w:rPr>
          <w:rFonts w:hint="eastAsia" w:ascii="仿宋" w:hAnsi="仿宋" w:eastAsia="仿宋" w:cs="仿宋_GB2312"/>
          <w:sz w:val="32"/>
          <w:szCs w:val="32"/>
          <w:shd w:val="clear" w:color="auto" w:fill="FFFFFF"/>
        </w:rPr>
        <w:t>1994</w:t>
      </w:r>
      <w:r>
        <w:rPr>
          <w:rFonts w:hint="eastAsia" w:ascii="仿宋" w:hAnsi="仿宋" w:eastAsia="仿宋" w:cs="宋体"/>
          <w:sz w:val="32"/>
          <w:szCs w:val="32"/>
          <w:shd w:val="clear" w:color="auto" w:fill="FFFFFF"/>
        </w:rPr>
        <w:t>年成立的新疆</w:t>
      </w:r>
      <w:r>
        <w:rPr>
          <w:rFonts w:hint="eastAsia" w:ascii="仿宋" w:hAnsi="仿宋" w:eastAsia="仿宋" w:cs="宋体"/>
          <w:sz w:val="32"/>
          <w:szCs w:val="32"/>
        </w:rPr>
        <w:t>维吾尔</w:t>
      </w:r>
      <w:r>
        <w:rPr>
          <w:rFonts w:hint="eastAsia" w:ascii="仿宋" w:hAnsi="仿宋" w:eastAsia="仿宋" w:cs="宋体"/>
          <w:sz w:val="32"/>
          <w:szCs w:val="32"/>
          <w:shd w:val="clear" w:color="auto" w:fill="FFFFFF"/>
        </w:rPr>
        <w:t>自治区足球协会，</w:t>
      </w:r>
      <w:r>
        <w:rPr>
          <w:rFonts w:hint="eastAsia" w:ascii="仿宋" w:hAnsi="仿宋" w:eastAsia="仿宋" w:cs="仿宋_GB2312"/>
          <w:sz w:val="32"/>
          <w:szCs w:val="32"/>
          <w:shd w:val="clear" w:color="auto" w:fill="FFFFFF"/>
        </w:rPr>
        <w:t>1998</w:t>
      </w:r>
      <w:r>
        <w:rPr>
          <w:rFonts w:hint="eastAsia" w:ascii="仿宋" w:hAnsi="仿宋" w:eastAsia="仿宋" w:cs="宋体"/>
          <w:sz w:val="32"/>
          <w:szCs w:val="32"/>
          <w:shd w:val="clear" w:color="auto" w:fill="FFFFFF"/>
        </w:rPr>
        <w:t>年成立自治区</w:t>
      </w:r>
      <w:r>
        <w:rPr>
          <w:rFonts w:hint="eastAsia" w:ascii="仿宋" w:hAnsi="仿宋" w:eastAsia="仿宋" w:cs="___WRD_EMBED_SUB_41"/>
          <w:sz w:val="32"/>
          <w:szCs w:val="32"/>
          <w:shd w:val="clear" w:color="auto" w:fill="FFFFFF"/>
        </w:rPr>
        <w:t>体育</w:t>
      </w:r>
      <w:r>
        <w:rPr>
          <w:rFonts w:hint="eastAsia" w:ascii="仿宋" w:hAnsi="仿宋" w:eastAsia="仿宋" w:cs="宋体"/>
          <w:sz w:val="32"/>
          <w:szCs w:val="32"/>
          <w:shd w:val="clear" w:color="auto" w:fill="FFFFFF"/>
        </w:rPr>
        <w:t>局足球运动管理中心</w:t>
      </w:r>
      <w:r>
        <w:rPr>
          <w:rFonts w:hint="eastAsia" w:ascii="仿宋" w:hAnsi="仿宋" w:eastAsia="仿宋" w:cs="宋体"/>
          <w:sz w:val="32"/>
          <w:szCs w:val="32"/>
        </w:rPr>
        <w:t>。自成立以来，涌现出了一大批优秀的足球人才，为国家队、国奥队和全国各级俱乐部输送了大批优秀球员。</w:t>
      </w:r>
      <w:r>
        <w:rPr>
          <w:rFonts w:hint="eastAsia" w:ascii="仿宋" w:hAnsi="仿宋" w:eastAsia="仿宋" w:cs="仿宋_GB2312"/>
          <w:sz w:val="32"/>
          <w:szCs w:val="32"/>
        </w:rPr>
        <w:t>2005</w:t>
      </w:r>
      <w:r>
        <w:rPr>
          <w:rFonts w:hint="eastAsia" w:ascii="仿宋" w:hAnsi="仿宋" w:eastAsia="仿宋" w:cs="宋体"/>
          <w:sz w:val="32"/>
          <w:szCs w:val="32"/>
        </w:rPr>
        <w:t>年全国第十届全运会新疆男子足球队首次打进决</w:t>
      </w:r>
      <w:r>
        <w:rPr>
          <w:rFonts w:hint="eastAsia" w:ascii="仿宋" w:hAnsi="仿宋" w:eastAsia="仿宋" w:cs="___WRD_EMBED_SUB_41"/>
          <w:sz w:val="32"/>
          <w:szCs w:val="32"/>
        </w:rPr>
        <w:t>赛</w:t>
      </w:r>
      <w:r>
        <w:rPr>
          <w:rFonts w:hint="eastAsia" w:ascii="仿宋" w:hAnsi="仿宋" w:eastAsia="仿宋" w:cs="宋体"/>
          <w:sz w:val="32"/>
          <w:szCs w:val="32"/>
        </w:rPr>
        <w:t>，</w:t>
      </w:r>
      <w:r>
        <w:rPr>
          <w:rFonts w:hint="eastAsia" w:ascii="仿宋" w:hAnsi="仿宋" w:eastAsia="仿宋" w:cs="仿宋_GB2312"/>
          <w:sz w:val="32"/>
          <w:szCs w:val="32"/>
        </w:rPr>
        <w:t>46</w:t>
      </w:r>
      <w:r>
        <w:rPr>
          <w:rFonts w:hint="eastAsia" w:ascii="仿宋" w:hAnsi="仿宋" w:eastAsia="仿宋" w:cs="宋体"/>
          <w:sz w:val="32"/>
          <w:szCs w:val="32"/>
        </w:rPr>
        <w:t>年来实现突破。</w:t>
      </w:r>
      <w:r>
        <w:rPr>
          <w:rFonts w:hint="eastAsia" w:ascii="仿宋" w:hAnsi="仿宋" w:eastAsia="仿宋" w:cs="仿宋_GB2312"/>
          <w:sz w:val="32"/>
          <w:szCs w:val="32"/>
        </w:rPr>
        <w:t>2013</w:t>
      </w:r>
      <w:r>
        <w:rPr>
          <w:rFonts w:hint="eastAsia" w:ascii="仿宋" w:hAnsi="仿宋" w:eastAsia="仿宋" w:cs="宋体"/>
          <w:sz w:val="32"/>
          <w:szCs w:val="32"/>
        </w:rPr>
        <w:t>年全国第十二届全运会新疆</w:t>
      </w:r>
      <w:r>
        <w:rPr>
          <w:rFonts w:hint="eastAsia" w:ascii="仿宋" w:hAnsi="仿宋" w:eastAsia="仿宋" w:cs="仿宋_GB2312"/>
          <w:sz w:val="32"/>
          <w:szCs w:val="32"/>
        </w:rPr>
        <w:t>U20</w:t>
      </w:r>
      <w:r>
        <w:rPr>
          <w:rFonts w:hint="eastAsia" w:ascii="仿宋" w:hAnsi="仿宋" w:eastAsia="仿宋" w:cs="宋体"/>
          <w:sz w:val="32"/>
          <w:szCs w:val="32"/>
        </w:rPr>
        <w:t>男子足球队获得第四名，为新疆代表团获得三枚银牌。</w:t>
      </w:r>
      <w:r>
        <w:rPr>
          <w:rFonts w:hint="eastAsia" w:ascii="仿宋" w:hAnsi="仿宋" w:eastAsia="仿宋" w:cs="仿宋_GB2312"/>
          <w:sz w:val="32"/>
          <w:szCs w:val="32"/>
        </w:rPr>
        <w:t>2015</w:t>
      </w:r>
      <w:r>
        <w:rPr>
          <w:rFonts w:hint="eastAsia" w:ascii="仿宋" w:hAnsi="仿宋" w:eastAsia="仿宋" w:cs="宋体"/>
          <w:sz w:val="32"/>
          <w:szCs w:val="32"/>
        </w:rPr>
        <w:t>年全国首届青年运动会新疆</w:t>
      </w:r>
      <w:r>
        <w:rPr>
          <w:rFonts w:hint="eastAsia" w:ascii="仿宋" w:hAnsi="仿宋" w:eastAsia="仿宋" w:cs="仿宋_GB2312"/>
          <w:sz w:val="32"/>
          <w:szCs w:val="32"/>
        </w:rPr>
        <w:t>U16</w:t>
      </w:r>
      <w:r>
        <w:rPr>
          <w:rFonts w:hint="eastAsia" w:ascii="仿宋" w:hAnsi="仿宋" w:eastAsia="仿宋" w:cs="宋体"/>
          <w:sz w:val="32"/>
          <w:szCs w:val="32"/>
        </w:rPr>
        <w:t>男子足球队获得乙组冠军。</w:t>
      </w:r>
      <w:r>
        <w:rPr>
          <w:rFonts w:hint="eastAsia" w:ascii="仿宋" w:hAnsi="仿宋" w:eastAsia="仿宋" w:cs="仿宋_GB2312"/>
          <w:sz w:val="32"/>
          <w:szCs w:val="32"/>
        </w:rPr>
        <w:t>2017</w:t>
      </w:r>
      <w:r>
        <w:rPr>
          <w:rFonts w:hint="eastAsia" w:ascii="仿宋" w:hAnsi="仿宋" w:eastAsia="仿宋" w:cs="宋体"/>
          <w:sz w:val="32"/>
          <w:szCs w:val="32"/>
        </w:rPr>
        <w:t>年全国第十三届全运会新疆</w:t>
      </w:r>
      <w:r>
        <w:rPr>
          <w:rFonts w:hint="eastAsia" w:ascii="仿宋" w:hAnsi="仿宋" w:eastAsia="仿宋" w:cs="仿宋_GB2312"/>
          <w:sz w:val="32"/>
          <w:szCs w:val="32"/>
        </w:rPr>
        <w:t>U20</w:t>
      </w:r>
      <w:r>
        <w:rPr>
          <w:rFonts w:hint="eastAsia" w:ascii="仿宋" w:hAnsi="仿宋" w:eastAsia="仿宋" w:cs="宋体"/>
          <w:sz w:val="32"/>
          <w:szCs w:val="32"/>
        </w:rPr>
        <w:t>男子足球队获得第六名，新疆</w:t>
      </w:r>
      <w:r>
        <w:rPr>
          <w:rFonts w:hint="eastAsia" w:ascii="仿宋" w:hAnsi="仿宋" w:eastAsia="仿宋" w:cs="仿宋_GB2312"/>
          <w:sz w:val="32"/>
          <w:szCs w:val="32"/>
        </w:rPr>
        <w:t>U18</w:t>
      </w:r>
      <w:r>
        <w:rPr>
          <w:rFonts w:hint="eastAsia" w:ascii="仿宋" w:hAnsi="仿宋" w:eastAsia="仿宋" w:cs="宋体"/>
          <w:sz w:val="32"/>
          <w:szCs w:val="32"/>
        </w:rPr>
        <w:t>男子足球队获得第三名。首次实现男子甲、乙组同时进入决</w:t>
      </w:r>
      <w:r>
        <w:rPr>
          <w:rFonts w:hint="eastAsia" w:ascii="仿宋" w:hAnsi="仿宋" w:eastAsia="仿宋" w:cs="___WRD_EMBED_SUB_41"/>
          <w:sz w:val="32"/>
          <w:szCs w:val="32"/>
        </w:rPr>
        <w:t>赛</w:t>
      </w:r>
      <w:r>
        <w:rPr>
          <w:rFonts w:hint="eastAsia" w:ascii="仿宋" w:hAnsi="仿宋" w:eastAsia="仿宋" w:cs="宋体"/>
          <w:sz w:val="32"/>
          <w:szCs w:val="32"/>
        </w:rPr>
        <w:t>。</w:t>
      </w:r>
      <w:r>
        <w:rPr>
          <w:rFonts w:hint="eastAsia" w:ascii="仿宋" w:hAnsi="仿宋" w:eastAsia="仿宋" w:cs="仿宋_GB2312"/>
          <w:sz w:val="32"/>
          <w:szCs w:val="32"/>
        </w:rPr>
        <w:t>2021</w:t>
      </w:r>
      <w:r>
        <w:rPr>
          <w:rFonts w:hint="eastAsia" w:ascii="仿宋" w:hAnsi="仿宋" w:eastAsia="仿宋" w:cs="宋体"/>
          <w:sz w:val="32"/>
          <w:szCs w:val="32"/>
        </w:rPr>
        <w:t>年全国第十四届全运会新疆</w:t>
      </w:r>
      <w:r>
        <w:rPr>
          <w:rFonts w:hint="eastAsia" w:ascii="仿宋" w:hAnsi="仿宋" w:eastAsia="仿宋" w:cs="仿宋_GB2312"/>
          <w:sz w:val="32"/>
          <w:szCs w:val="32"/>
        </w:rPr>
        <w:t>U20</w:t>
      </w:r>
      <w:r>
        <w:rPr>
          <w:rFonts w:hint="eastAsia" w:ascii="仿宋" w:hAnsi="仿宋" w:eastAsia="仿宋" w:cs="宋体"/>
          <w:sz w:val="32"/>
          <w:szCs w:val="32"/>
        </w:rPr>
        <w:t>男子足球队获得甲组亚军。我中心各级青少年队伍每年在全国青少年联</w:t>
      </w:r>
      <w:r>
        <w:rPr>
          <w:rFonts w:hint="eastAsia" w:ascii="仿宋" w:hAnsi="仿宋" w:eastAsia="仿宋" w:cs="___WRD_EMBED_SUB_41"/>
          <w:sz w:val="32"/>
          <w:szCs w:val="32"/>
        </w:rPr>
        <w:t>赛</w:t>
      </w:r>
      <w:r>
        <w:rPr>
          <w:rFonts w:hint="eastAsia" w:ascii="仿宋" w:hAnsi="仿宋" w:eastAsia="仿宋" w:cs="宋体"/>
          <w:sz w:val="32"/>
          <w:szCs w:val="32"/>
        </w:rPr>
        <w:t>、锦标</w:t>
      </w:r>
      <w:r>
        <w:rPr>
          <w:rFonts w:hint="eastAsia" w:ascii="仿宋" w:hAnsi="仿宋" w:eastAsia="仿宋" w:cs="___WRD_EMBED_SUB_41"/>
          <w:sz w:val="32"/>
          <w:szCs w:val="32"/>
        </w:rPr>
        <w:t>赛</w:t>
      </w:r>
      <w:r>
        <w:rPr>
          <w:rFonts w:hint="eastAsia" w:ascii="仿宋" w:hAnsi="仿宋" w:eastAsia="仿宋" w:cs="宋体"/>
          <w:sz w:val="32"/>
          <w:szCs w:val="32"/>
        </w:rPr>
        <w:t>、足协杯等</w:t>
      </w:r>
      <w:r>
        <w:rPr>
          <w:rFonts w:hint="eastAsia" w:ascii="仿宋" w:hAnsi="仿宋" w:eastAsia="仿宋" w:cs="___WRD_EMBED_SUB_41"/>
          <w:sz w:val="32"/>
          <w:szCs w:val="32"/>
        </w:rPr>
        <w:t>赛事</w:t>
      </w:r>
      <w:r>
        <w:rPr>
          <w:rFonts w:hint="eastAsia" w:ascii="仿宋" w:hAnsi="仿宋" w:eastAsia="仿宋" w:cs="宋体"/>
          <w:sz w:val="32"/>
          <w:szCs w:val="32"/>
        </w:rPr>
        <w:t>中也多次获得冠军和前三名的优异成绩。为中国和新疆</w:t>
      </w:r>
      <w:r>
        <w:rPr>
          <w:rFonts w:hint="eastAsia" w:ascii="仿宋" w:hAnsi="仿宋" w:eastAsia="仿宋" w:cs="___WRD_EMBED_SUB_41"/>
          <w:sz w:val="32"/>
          <w:szCs w:val="32"/>
        </w:rPr>
        <w:t>体育事</w:t>
      </w:r>
      <w:r>
        <w:rPr>
          <w:rFonts w:hint="eastAsia" w:ascii="仿宋" w:hAnsi="仿宋" w:eastAsia="仿宋" w:cs="宋体"/>
          <w:sz w:val="32"/>
          <w:szCs w:val="32"/>
        </w:rPr>
        <w:t>业的发展做出过巨大的贡献。</w:t>
      </w:r>
    </w:p>
    <w:p w14:paraId="6C8B3256">
      <w:pPr>
        <w:spacing w:line="560" w:lineRule="exact"/>
        <w:ind w:firstLine="640" w:firstLineChars="200"/>
        <w:rPr>
          <w:rFonts w:ascii="仿宋" w:hAnsi="仿宋" w:eastAsia="仿宋" w:cs="仿宋"/>
          <w:sz w:val="32"/>
          <w:szCs w:val="32"/>
        </w:rPr>
      </w:pPr>
      <w:r>
        <w:rPr>
          <w:rFonts w:hint="eastAsia" w:ascii="仿宋" w:hAnsi="仿宋" w:eastAsia="仿宋" w:cs="宋体"/>
          <w:sz w:val="32"/>
          <w:szCs w:val="32"/>
          <w:shd w:val="clear" w:color="auto" w:fill="FFFFFF"/>
        </w:rPr>
        <w:t>自治区足球运动训练中心</w:t>
      </w:r>
      <w:r>
        <w:rPr>
          <w:rFonts w:hint="eastAsia" w:ascii="仿宋" w:hAnsi="仿宋" w:eastAsia="仿宋" w:cs="宋体"/>
          <w:sz w:val="32"/>
          <w:szCs w:val="32"/>
        </w:rPr>
        <w:t>地处乌鲁木齐南郊，与新疆迎宾馆毗邻。其主要职能是</w:t>
      </w:r>
      <w:r>
        <w:rPr>
          <w:rFonts w:hint="eastAsia" w:ascii="仿宋" w:hAnsi="仿宋" w:eastAsia="仿宋" w:cs="宋体"/>
          <w:color w:val="000000"/>
          <w:sz w:val="32"/>
          <w:szCs w:val="32"/>
        </w:rPr>
        <w:t>全面负责本运动项目的业务管理，研究和制定项目的发展规划、计划和方针政策；负责和指导本项目优秀运动队建设和后</w:t>
      </w:r>
      <w:r>
        <w:rPr>
          <w:rFonts w:hint="eastAsia" w:ascii="仿宋" w:hAnsi="仿宋" w:eastAsia="仿宋" w:cs="___WRD_EMBED_SUB_41"/>
          <w:color w:val="000000"/>
          <w:sz w:val="32"/>
          <w:szCs w:val="32"/>
        </w:rPr>
        <w:t>备</w:t>
      </w:r>
      <w:r>
        <w:rPr>
          <w:rFonts w:hint="eastAsia" w:ascii="仿宋" w:hAnsi="仿宋" w:eastAsia="仿宋" w:cs="宋体"/>
          <w:color w:val="000000"/>
          <w:sz w:val="32"/>
          <w:szCs w:val="32"/>
        </w:rPr>
        <w:t>人才的培养，管理本项目的自治区队；研究制定并组织实施本项目的自治区竞</w:t>
      </w:r>
      <w:r>
        <w:rPr>
          <w:rFonts w:hint="eastAsia" w:ascii="仿宋" w:hAnsi="仿宋" w:eastAsia="仿宋" w:cs="___WRD_EMBED_SUB_41"/>
          <w:color w:val="000000"/>
          <w:sz w:val="32"/>
          <w:szCs w:val="32"/>
        </w:rPr>
        <w:t>赛</w:t>
      </w:r>
      <w:r>
        <w:rPr>
          <w:rFonts w:hint="eastAsia" w:ascii="仿宋" w:hAnsi="仿宋" w:eastAsia="仿宋" w:cs="宋体"/>
          <w:color w:val="000000"/>
          <w:sz w:val="32"/>
          <w:szCs w:val="32"/>
        </w:rPr>
        <w:t>制度、计划、规则和裁判法，负责本项目自治区竞</w:t>
      </w:r>
      <w:r>
        <w:rPr>
          <w:rFonts w:hint="eastAsia" w:ascii="仿宋" w:hAnsi="仿宋" w:eastAsia="仿宋" w:cs="___WRD_EMBED_SUB_41"/>
          <w:color w:val="000000"/>
          <w:sz w:val="32"/>
          <w:szCs w:val="32"/>
        </w:rPr>
        <w:t>赛</w:t>
      </w:r>
      <w:r>
        <w:rPr>
          <w:rFonts w:hint="eastAsia" w:ascii="仿宋" w:hAnsi="仿宋" w:eastAsia="仿宋" w:cs="宋体"/>
          <w:color w:val="000000"/>
          <w:sz w:val="32"/>
          <w:szCs w:val="32"/>
        </w:rPr>
        <w:t>的管理，制定自治区比</w:t>
      </w:r>
      <w:r>
        <w:rPr>
          <w:rFonts w:hint="eastAsia" w:ascii="仿宋" w:hAnsi="仿宋" w:eastAsia="仿宋" w:cs="___WRD_EMBED_SUB_41"/>
          <w:color w:val="000000"/>
          <w:sz w:val="32"/>
          <w:szCs w:val="32"/>
        </w:rPr>
        <w:t>赛</w:t>
      </w:r>
      <w:r>
        <w:rPr>
          <w:rFonts w:hint="eastAsia" w:ascii="仿宋" w:hAnsi="仿宋" w:eastAsia="仿宋" w:cs="宋体"/>
          <w:color w:val="000000"/>
          <w:sz w:val="32"/>
          <w:szCs w:val="32"/>
        </w:rPr>
        <w:t>规程，审定运动成绩；组织本项目的科学技术研究，进行器材的研制和开发，提高科学训练水平；开展国内外交往和技术交流，提出本项目的国内外活动计划，组织实施参加国内外竞</w:t>
      </w:r>
      <w:r>
        <w:rPr>
          <w:rFonts w:hint="eastAsia" w:ascii="仿宋" w:hAnsi="仿宋" w:eastAsia="仿宋" w:cs="___WRD_EMBED_SUB_41"/>
          <w:color w:val="000000"/>
          <w:sz w:val="32"/>
          <w:szCs w:val="32"/>
        </w:rPr>
        <w:t>赛</w:t>
      </w:r>
      <w:r>
        <w:rPr>
          <w:rFonts w:hint="eastAsia" w:ascii="仿宋" w:hAnsi="仿宋" w:eastAsia="仿宋" w:cs="宋体"/>
          <w:color w:val="000000"/>
          <w:sz w:val="32"/>
          <w:szCs w:val="32"/>
        </w:rPr>
        <w:t>队伍的组织、集训和参</w:t>
      </w:r>
      <w:r>
        <w:rPr>
          <w:rFonts w:hint="eastAsia" w:ascii="仿宋" w:hAnsi="仿宋" w:eastAsia="仿宋" w:cs="___WRD_EMBED_SUB_41"/>
          <w:color w:val="000000"/>
          <w:sz w:val="32"/>
          <w:szCs w:val="32"/>
        </w:rPr>
        <w:t>赛事</w:t>
      </w:r>
      <w:r>
        <w:rPr>
          <w:rFonts w:hint="eastAsia" w:ascii="仿宋" w:hAnsi="仿宋" w:eastAsia="仿宋" w:cs="宋体"/>
          <w:color w:val="000000"/>
          <w:sz w:val="32"/>
          <w:szCs w:val="32"/>
        </w:rPr>
        <w:t>项，负责和指导在自治区举办的国内外比</w:t>
      </w:r>
      <w:r>
        <w:rPr>
          <w:rFonts w:hint="eastAsia" w:ascii="仿宋" w:hAnsi="仿宋" w:eastAsia="仿宋" w:cs="___WRD_EMBED_SUB_41"/>
          <w:color w:val="000000"/>
          <w:sz w:val="32"/>
          <w:szCs w:val="32"/>
        </w:rPr>
        <w:t>赛</w:t>
      </w:r>
      <w:r>
        <w:rPr>
          <w:rFonts w:hint="eastAsia" w:ascii="仿宋" w:hAnsi="仿宋" w:eastAsia="仿宋" w:cs="宋体"/>
          <w:color w:val="000000"/>
          <w:sz w:val="32"/>
          <w:szCs w:val="32"/>
        </w:rPr>
        <w:t>有关组织工作；指导新疆足球协会工作，加强组织建设，广泛联系和团结社会各界人士，充分发挥协会的桥梁和纽带作用</w:t>
      </w:r>
      <w:r>
        <w:rPr>
          <w:rFonts w:hint="eastAsia" w:ascii="仿宋" w:hAnsi="仿宋" w:eastAsia="仿宋" w:cs="宋体"/>
          <w:sz w:val="32"/>
          <w:szCs w:val="32"/>
        </w:rPr>
        <w:t>。目前拥有</w:t>
      </w:r>
      <w:r>
        <w:rPr>
          <w:rFonts w:hint="eastAsia" w:ascii="仿宋" w:hAnsi="仿宋" w:eastAsia="仿宋" w:cs="仿宋_GB2312"/>
          <w:sz w:val="32"/>
          <w:szCs w:val="32"/>
        </w:rPr>
        <w:t>参战</w:t>
      </w:r>
      <w:r>
        <w:rPr>
          <w:rFonts w:hint="eastAsia" w:ascii="仿宋" w:hAnsi="仿宋" w:eastAsia="仿宋" w:cs="宋体"/>
          <w:sz w:val="32"/>
          <w:szCs w:val="32"/>
        </w:rPr>
        <w:t>第十五届全运会的</w:t>
      </w:r>
      <w:r>
        <w:rPr>
          <w:rFonts w:hint="eastAsia" w:ascii="仿宋" w:hAnsi="仿宋" w:eastAsia="仿宋" w:cs="仿宋_GB2312"/>
          <w:sz w:val="32"/>
          <w:szCs w:val="32"/>
        </w:rPr>
        <w:t>3</w:t>
      </w:r>
      <w:r>
        <w:rPr>
          <w:rFonts w:hint="eastAsia" w:ascii="仿宋" w:hAnsi="仿宋" w:eastAsia="仿宋" w:cs="宋体"/>
          <w:sz w:val="32"/>
          <w:szCs w:val="32"/>
        </w:rPr>
        <w:t>支运动队。中心的硬件设施方面有</w:t>
      </w:r>
      <w:r>
        <w:rPr>
          <w:rFonts w:hint="eastAsia" w:ascii="仿宋" w:hAnsi="仿宋" w:eastAsia="仿宋" w:cs="宋体"/>
          <w:sz w:val="32"/>
          <w:szCs w:val="32"/>
          <w:shd w:val="clear" w:color="auto" w:fill="FFFFFF"/>
        </w:rPr>
        <w:t>一栋办公教学楼，一栋运动员公寓，一栋运动员餐厅。一块天然草标准场足球场，一块人造草标准足球场，两块非标准天然草足球场，一块五人制人造草足球场。</w:t>
      </w:r>
    </w:p>
    <w:p w14:paraId="1647C99F">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近年来，中心党委在自治区</w:t>
      </w:r>
      <w:r>
        <w:rPr>
          <w:rFonts w:hint="eastAsia" w:ascii="仿宋" w:hAnsi="仿宋" w:eastAsia="仿宋" w:cs="___WRD_EMBED_SUB_41"/>
          <w:sz w:val="32"/>
          <w:szCs w:val="32"/>
        </w:rPr>
        <w:t>体育</w:t>
      </w:r>
      <w:r>
        <w:rPr>
          <w:rFonts w:hint="eastAsia" w:ascii="仿宋" w:hAnsi="仿宋" w:eastAsia="仿宋" w:cs="宋体"/>
          <w:sz w:val="32"/>
          <w:szCs w:val="32"/>
        </w:rPr>
        <w:t>局的关心帮助和大力支持下，在抓好足球项目训练比</w:t>
      </w:r>
      <w:r>
        <w:rPr>
          <w:rFonts w:hint="eastAsia" w:ascii="仿宋" w:hAnsi="仿宋" w:eastAsia="仿宋" w:cs="___WRD_EMBED_SUB_41"/>
          <w:sz w:val="32"/>
          <w:szCs w:val="32"/>
        </w:rPr>
        <w:t>赛</w:t>
      </w:r>
      <w:r>
        <w:rPr>
          <w:rFonts w:hint="eastAsia" w:ascii="仿宋" w:hAnsi="仿宋" w:eastAsia="仿宋" w:cs="宋体"/>
          <w:sz w:val="32"/>
          <w:szCs w:val="32"/>
        </w:rPr>
        <w:t>的同时，坚持软硬件建设一起抓，取得了显著的成效，短短几年时间里，中心创建了天山区文明单位、乌鲁木齐市文明单位、自治区文明单位，</w:t>
      </w:r>
      <w:r>
        <w:rPr>
          <w:rFonts w:hint="eastAsia" w:ascii="仿宋" w:hAnsi="仿宋" w:eastAsia="仿宋" w:cs="仿宋_GB2312"/>
          <w:sz w:val="32"/>
          <w:szCs w:val="32"/>
        </w:rPr>
        <w:t>2021</w:t>
      </w:r>
      <w:r>
        <w:rPr>
          <w:rFonts w:hint="eastAsia" w:ascii="仿宋" w:hAnsi="仿宋" w:eastAsia="仿宋" w:cs="宋体"/>
          <w:sz w:val="32"/>
          <w:szCs w:val="32"/>
        </w:rPr>
        <w:t>年，被新疆维吾尔自治区总工会授予“工人先锋号”。同时，也获得了民族团结先进单位、平安建设单位、绿化达标单位和计划生</w:t>
      </w:r>
      <w:r>
        <w:rPr>
          <w:rFonts w:hint="eastAsia" w:ascii="仿宋" w:hAnsi="仿宋" w:eastAsia="仿宋" w:cs="___WRD_EMBED_SUB_41"/>
          <w:sz w:val="32"/>
          <w:szCs w:val="32"/>
        </w:rPr>
        <w:t>育</w:t>
      </w:r>
      <w:r>
        <w:rPr>
          <w:rFonts w:hint="eastAsia" w:ascii="仿宋" w:hAnsi="仿宋" w:eastAsia="仿宋" w:cs="宋体"/>
          <w:sz w:val="32"/>
          <w:szCs w:val="32"/>
        </w:rPr>
        <w:t>达标单位等诸多荣誉。国家层面持续强调夯实青训基础、完善梯队结构、提升集体项目整体竞争力，对足球等重点项目提出了更高标准和更严要求。按照自治区党委、政府和自治区体育局统一部署，自治区足球运动训练中心将十五运备战参赛工作作为检验男子足球项目建设成效的重要契机，坚持把备战工作放在竞技体育大局的高度来谋划和推进。围绕“以赛检验体系、以赛锻炼队伍、以赛发现问题”的总体目标，本届第十五届全国运动会男子足球项目中，男子U18、U20两支队伍均通过预赛进入决赛阶段，最终均获得全国第七名的好成绩。中心男子足球项目整体保持在全国前列序列，基本完成了赛前既定任务目标，展现出一定的综合竞争能力。</w:t>
      </w:r>
    </w:p>
    <w:p w14:paraId="6918E70C">
      <w:pPr>
        <w:spacing w:line="560" w:lineRule="exact"/>
        <w:ind w:firstLine="640" w:firstLineChars="200"/>
        <w:outlineLvl w:val="0"/>
        <w:rPr>
          <w:rFonts w:ascii="仿宋" w:hAnsi="仿宋" w:eastAsia="仿宋" w:cs="仿宋_GB2312"/>
          <w:sz w:val="32"/>
          <w:szCs w:val="32"/>
        </w:rPr>
      </w:pPr>
      <w:r>
        <w:rPr>
          <w:rFonts w:hint="eastAsia" w:ascii="仿宋" w:hAnsi="仿宋" w:eastAsia="仿宋" w:cs="仿宋_GB2312"/>
          <w:sz w:val="32"/>
          <w:szCs w:val="32"/>
        </w:rPr>
        <w:t>2.</w:t>
      </w:r>
      <w:r>
        <w:rPr>
          <w:rFonts w:hint="eastAsia" w:ascii="仿宋" w:hAnsi="仿宋" w:eastAsia="仿宋" w:cs="宋体"/>
          <w:sz w:val="32"/>
          <w:szCs w:val="32"/>
        </w:rPr>
        <w:t>主要内容及实施情况</w:t>
      </w:r>
    </w:p>
    <w:p w14:paraId="68F71B27">
      <w:pPr>
        <w:spacing w:line="560" w:lineRule="exact"/>
        <w:ind w:firstLine="640" w:firstLineChars="200"/>
        <w:rPr>
          <w:rFonts w:hint="eastAsia" w:ascii="仿宋" w:hAnsi="仿宋" w:eastAsia="仿宋" w:cs="宋体"/>
          <w:bCs/>
          <w:sz w:val="32"/>
          <w:szCs w:val="32"/>
        </w:rPr>
      </w:pPr>
      <w:r>
        <w:rPr>
          <w:rFonts w:hint="eastAsia" w:ascii="仿宋" w:hAnsi="仿宋" w:eastAsia="仿宋" w:cs="宋体"/>
          <w:bCs/>
          <w:sz w:val="32"/>
          <w:szCs w:val="32"/>
        </w:rPr>
        <w:t>通过保障运动员训练、比</w:t>
      </w:r>
      <w:r>
        <w:rPr>
          <w:rFonts w:hint="eastAsia" w:ascii="仿宋" w:hAnsi="仿宋" w:eastAsia="仿宋" w:cs="___WRD_EMBED_SUB_41"/>
          <w:bCs/>
          <w:sz w:val="32"/>
          <w:szCs w:val="32"/>
        </w:rPr>
        <w:t>赛</w:t>
      </w:r>
      <w:r>
        <w:rPr>
          <w:rFonts w:hint="eastAsia" w:ascii="仿宋" w:hAnsi="仿宋" w:eastAsia="仿宋" w:cs="宋体"/>
          <w:bCs/>
          <w:sz w:val="32"/>
          <w:szCs w:val="32"/>
        </w:rPr>
        <w:t>、康复治疗、伙食、学习、服装器材装</w:t>
      </w:r>
      <w:r>
        <w:rPr>
          <w:rFonts w:hint="eastAsia" w:ascii="仿宋" w:hAnsi="仿宋" w:eastAsia="仿宋" w:cs="___WRD_EMBED_SUB_41"/>
          <w:bCs/>
          <w:sz w:val="32"/>
          <w:szCs w:val="32"/>
        </w:rPr>
        <w:t>备</w:t>
      </w:r>
      <w:r>
        <w:rPr>
          <w:rFonts w:hint="eastAsia" w:ascii="仿宋" w:hAnsi="仿宋" w:eastAsia="仿宋" w:cs="宋体"/>
          <w:bCs/>
          <w:sz w:val="32"/>
          <w:szCs w:val="32"/>
        </w:rPr>
        <w:t>、运动营养补给、运动员联合培养</w:t>
      </w:r>
      <w:r>
        <w:rPr>
          <w:rFonts w:hint="eastAsia" w:ascii="仿宋" w:hAnsi="仿宋" w:eastAsia="仿宋" w:cs="___WRD_EMBED_SUB_41"/>
          <w:bCs/>
          <w:sz w:val="32"/>
          <w:szCs w:val="32"/>
        </w:rPr>
        <w:t>经费</w:t>
      </w:r>
      <w:r>
        <w:rPr>
          <w:rFonts w:hint="eastAsia" w:ascii="仿宋" w:hAnsi="仿宋" w:eastAsia="仿宋" w:cs="宋体"/>
          <w:bCs/>
          <w:sz w:val="32"/>
          <w:szCs w:val="32"/>
        </w:rPr>
        <w:t>等各项支出，</w:t>
      </w:r>
      <w:r>
        <w:rPr>
          <w:rFonts w:hint="eastAsia" w:ascii="仿宋" w:hAnsi="仿宋" w:eastAsia="仿宋" w:cs="宋体"/>
          <w:sz w:val="32"/>
          <w:szCs w:val="32"/>
        </w:rPr>
        <w:t>严格按照专项资金的用途专款专用，最大限度提高资金利用率，本着厉行节约原则，利用好</w:t>
      </w:r>
      <w:r>
        <w:rPr>
          <w:rFonts w:hint="eastAsia" w:ascii="仿宋" w:hAnsi="仿宋" w:eastAsia="仿宋" w:cs="___WRD_EMBED_SUB_41"/>
          <w:sz w:val="32"/>
          <w:szCs w:val="32"/>
        </w:rPr>
        <w:t>备战</w:t>
      </w:r>
      <w:r>
        <w:rPr>
          <w:rFonts w:hint="eastAsia" w:ascii="仿宋" w:hAnsi="仿宋" w:eastAsia="仿宋" w:cs="宋体"/>
          <w:sz w:val="32"/>
          <w:szCs w:val="32"/>
        </w:rPr>
        <w:t>专项资金，全力</w:t>
      </w:r>
      <w:r>
        <w:rPr>
          <w:rFonts w:hint="eastAsia" w:ascii="仿宋" w:hAnsi="仿宋" w:eastAsia="仿宋" w:cs="宋体"/>
          <w:bCs/>
          <w:sz w:val="32"/>
          <w:szCs w:val="32"/>
        </w:rPr>
        <w:t>做好各运动队的后勤保障，促进我区足球项目稳步、健康发展，实现为祖国争光、为新疆添彩的目标。</w:t>
      </w:r>
    </w:p>
    <w:p w14:paraId="2178659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各项目指标均已完成，完成效果较好。</w:t>
      </w:r>
    </w:p>
    <w:p w14:paraId="309374A4">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3、资金投入和使用情况</w:t>
      </w:r>
    </w:p>
    <w:p w14:paraId="54FB813C">
      <w:pPr>
        <w:spacing w:line="560" w:lineRule="exact"/>
        <w:ind w:firstLine="640" w:firstLineChars="200"/>
        <w:outlineLvl w:val="1"/>
        <w:rPr>
          <w:rFonts w:ascii="仿宋" w:hAnsi="仿宋" w:eastAsia="仿宋" w:cs="仿宋_GB2312"/>
          <w:sz w:val="32"/>
          <w:szCs w:val="32"/>
        </w:rPr>
      </w:pPr>
      <w:r>
        <w:rPr>
          <w:rFonts w:hint="eastAsia" w:ascii="仿宋" w:hAnsi="仿宋" w:eastAsia="仿宋" w:cs="仿宋_GB2312"/>
          <w:sz w:val="32"/>
          <w:szCs w:val="32"/>
        </w:rPr>
        <w:t>2025</w:t>
      </w:r>
      <w:r>
        <w:rPr>
          <w:rFonts w:hint="eastAsia" w:ascii="仿宋" w:hAnsi="仿宋" w:eastAsia="仿宋" w:cs="宋体"/>
          <w:sz w:val="32"/>
          <w:szCs w:val="32"/>
        </w:rPr>
        <w:t>年预算资金</w:t>
      </w:r>
      <w:r>
        <w:rPr>
          <w:rFonts w:hint="eastAsia" w:ascii="仿宋" w:hAnsi="仿宋" w:eastAsia="仿宋" w:cs="仿宋_GB2312"/>
          <w:sz w:val="32"/>
          <w:szCs w:val="32"/>
        </w:rPr>
        <w:t>1390.55</w:t>
      </w:r>
      <w:r>
        <w:rPr>
          <w:rFonts w:hint="eastAsia" w:ascii="仿宋" w:hAnsi="仿宋" w:eastAsia="仿宋" w:cs="宋体"/>
          <w:sz w:val="32"/>
          <w:szCs w:val="32"/>
        </w:rPr>
        <w:t>万元，已全额到位，均为财政拨款，无自筹资金，预算资金到位率达到</w:t>
      </w:r>
      <w:r>
        <w:rPr>
          <w:rFonts w:hint="eastAsia" w:ascii="仿宋" w:hAnsi="仿宋" w:eastAsia="仿宋" w:cs="仿宋_GB2312"/>
          <w:sz w:val="32"/>
          <w:szCs w:val="32"/>
        </w:rPr>
        <w:t>100%</w:t>
      </w:r>
      <w:r>
        <w:rPr>
          <w:rFonts w:hint="eastAsia" w:ascii="仿宋" w:hAnsi="仿宋" w:eastAsia="仿宋" w:cs="宋体"/>
          <w:sz w:val="32"/>
          <w:szCs w:val="32"/>
        </w:rPr>
        <w:t>。</w:t>
      </w:r>
    </w:p>
    <w:p w14:paraId="4E3AA4B5">
      <w:pPr>
        <w:spacing w:line="560" w:lineRule="exact"/>
        <w:ind w:firstLine="640" w:firstLineChars="200"/>
        <w:outlineLvl w:val="1"/>
        <w:rPr>
          <w:rFonts w:ascii="仿宋" w:hAnsi="仿宋" w:eastAsia="仿宋" w:cs="仿宋_GB2312"/>
          <w:sz w:val="32"/>
          <w:szCs w:val="32"/>
        </w:rPr>
      </w:pPr>
      <w:r>
        <w:rPr>
          <w:rFonts w:hint="eastAsia" w:ascii="仿宋" w:hAnsi="仿宋" w:eastAsia="仿宋" w:cs="宋体"/>
          <w:sz w:val="32"/>
          <w:szCs w:val="32"/>
        </w:rPr>
        <w:t>截止</w:t>
      </w:r>
      <w:r>
        <w:rPr>
          <w:rFonts w:hint="eastAsia" w:ascii="仿宋" w:hAnsi="仿宋" w:eastAsia="仿宋" w:cs="仿宋_GB2312"/>
          <w:sz w:val="32"/>
          <w:szCs w:val="32"/>
        </w:rPr>
        <w:t>2025</w:t>
      </w:r>
      <w:r>
        <w:rPr>
          <w:rFonts w:hint="eastAsia" w:ascii="仿宋" w:hAnsi="仿宋" w:eastAsia="仿宋" w:cs="宋体"/>
          <w:sz w:val="32"/>
          <w:szCs w:val="32"/>
        </w:rPr>
        <w:t>年</w:t>
      </w:r>
      <w:r>
        <w:rPr>
          <w:rFonts w:hint="eastAsia" w:ascii="仿宋" w:hAnsi="仿宋" w:eastAsia="仿宋" w:cs="仿宋_GB2312"/>
          <w:sz w:val="32"/>
          <w:szCs w:val="32"/>
        </w:rPr>
        <w:t>12</w:t>
      </w:r>
      <w:r>
        <w:rPr>
          <w:rFonts w:hint="eastAsia" w:ascii="仿宋" w:hAnsi="仿宋" w:eastAsia="仿宋" w:cs="宋体"/>
          <w:sz w:val="32"/>
          <w:szCs w:val="32"/>
        </w:rPr>
        <w:t>月</w:t>
      </w:r>
      <w:r>
        <w:rPr>
          <w:rFonts w:hint="eastAsia" w:ascii="仿宋" w:hAnsi="仿宋" w:eastAsia="仿宋" w:cs="仿宋_GB2312"/>
          <w:sz w:val="32"/>
          <w:szCs w:val="32"/>
        </w:rPr>
        <w:t>31</w:t>
      </w:r>
      <w:r>
        <w:rPr>
          <w:rFonts w:hint="eastAsia" w:ascii="仿宋" w:hAnsi="仿宋" w:eastAsia="仿宋" w:cs="宋体"/>
          <w:sz w:val="32"/>
          <w:szCs w:val="32"/>
        </w:rPr>
        <w:t>日为止，已支出</w:t>
      </w:r>
      <w:r>
        <w:rPr>
          <w:rFonts w:hint="eastAsia" w:ascii="仿宋" w:hAnsi="仿宋" w:eastAsia="仿宋" w:cs="仿宋_GB2312"/>
          <w:sz w:val="32"/>
          <w:szCs w:val="32"/>
        </w:rPr>
        <w:t>1390.48</w:t>
      </w:r>
      <w:r>
        <w:rPr>
          <w:rFonts w:hint="eastAsia" w:ascii="仿宋" w:hAnsi="仿宋" w:eastAsia="仿宋" w:cs="宋体"/>
          <w:sz w:val="32"/>
          <w:szCs w:val="32"/>
        </w:rPr>
        <w:t>万元，资金执行率</w:t>
      </w:r>
      <w:r>
        <w:rPr>
          <w:rFonts w:hint="eastAsia" w:ascii="仿宋" w:hAnsi="仿宋" w:eastAsia="仿宋" w:cs="仿宋_GB2312"/>
          <w:sz w:val="32"/>
          <w:szCs w:val="32"/>
          <w:lang w:val="en-US" w:eastAsia="zh-CN"/>
        </w:rPr>
        <w:t>99.99</w:t>
      </w:r>
      <w:r>
        <w:rPr>
          <w:rFonts w:hint="eastAsia" w:ascii="仿宋" w:hAnsi="仿宋" w:eastAsia="仿宋" w:cs="仿宋_GB2312"/>
          <w:sz w:val="32"/>
          <w:szCs w:val="32"/>
        </w:rPr>
        <w:t>%</w:t>
      </w:r>
      <w:r>
        <w:rPr>
          <w:rFonts w:hint="eastAsia" w:ascii="仿宋" w:hAnsi="仿宋" w:eastAsia="仿宋" w:cs="宋体"/>
          <w:sz w:val="32"/>
          <w:szCs w:val="32"/>
        </w:rPr>
        <w:t>。各项资金拨付严格按照上级文件指示精神进行，支出均有相关的授权审批，资金拨付严格按审批程序进行，使用规范，会计核算结果真实、准确。</w:t>
      </w:r>
    </w:p>
    <w:p w14:paraId="78CF317E">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4、项目绩效目标</w:t>
      </w:r>
    </w:p>
    <w:p w14:paraId="5A06DF26">
      <w:pPr>
        <w:spacing w:line="560" w:lineRule="exact"/>
        <w:ind w:firstLine="627" w:firstLineChars="196"/>
        <w:rPr>
          <w:rFonts w:ascii="仿宋" w:hAnsi="仿宋" w:eastAsia="仿宋" w:cs="仿宋_GB2312"/>
          <w:sz w:val="32"/>
          <w:szCs w:val="32"/>
        </w:rPr>
      </w:pPr>
      <w:r>
        <w:rPr>
          <w:rFonts w:hint="eastAsia" w:ascii="仿宋_GB2312" w:hAnsi="仿宋_GB2312" w:cs="仿宋_GB2312"/>
          <w:sz w:val="32"/>
          <w:szCs w:val="32"/>
        </w:rPr>
        <w:t>总体目标：</w:t>
      </w:r>
      <w:r>
        <w:rPr>
          <w:rFonts w:hint="eastAsia" w:ascii="仿宋" w:hAnsi="仿宋" w:eastAsia="仿宋" w:cs="宋体"/>
          <w:bCs/>
          <w:sz w:val="32"/>
          <w:szCs w:val="32"/>
        </w:rPr>
        <w:t>保障运动队训练比赛需求，购买了422套运动员教练员训练装备、设备，购买训练装备、设备验收合格率达90%，参加国内大型运动会比赛484人次，后备人才培养130人，受益运动员满意度达100%，第十五届全运会取得前八的较好成绩，促进体育事业发展。</w:t>
      </w:r>
    </w:p>
    <w:p w14:paraId="46B91530">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阶段性目标：无。</w:t>
      </w:r>
    </w:p>
    <w:p w14:paraId="2B4AE517">
      <w:pPr>
        <w:spacing w:line="520" w:lineRule="exact"/>
        <w:ind w:firstLine="640" w:firstLineChars="200"/>
        <w:jc w:val="left"/>
        <w:rPr>
          <w:rFonts w:ascii="黑体" w:hAnsi="黑体" w:eastAsia="黑体"/>
          <w:sz w:val="32"/>
          <w:szCs w:val="32"/>
        </w:rPr>
      </w:pPr>
      <w:r>
        <w:rPr>
          <w:rFonts w:hint="eastAsia" w:ascii="黑体" w:hAnsi="黑体" w:eastAsia="黑体"/>
          <w:sz w:val="32"/>
          <w:szCs w:val="32"/>
        </w:rPr>
        <w:t>二、绩效评价工作开展情况</w:t>
      </w:r>
    </w:p>
    <w:p w14:paraId="402962D4">
      <w:pPr>
        <w:spacing w:line="520" w:lineRule="exact"/>
        <w:ind w:firstLine="643" w:firstLineChars="200"/>
        <w:jc w:val="left"/>
        <w:outlineLvl w:val="0"/>
        <w:rPr>
          <w:rFonts w:ascii="楷体" w:hAnsi="楷体" w:eastAsia="楷体" w:cs="楷体"/>
          <w:b/>
          <w:bCs/>
          <w:sz w:val="32"/>
          <w:szCs w:val="32"/>
        </w:rPr>
      </w:pPr>
      <w:r>
        <w:rPr>
          <w:rFonts w:hint="eastAsia" w:ascii="楷体" w:hAnsi="楷体" w:eastAsia="楷体" w:cs="楷体"/>
          <w:b/>
          <w:bCs/>
          <w:sz w:val="32"/>
          <w:szCs w:val="32"/>
        </w:rPr>
        <w:t>（一）绩效评价目的、对象和范围。</w:t>
      </w:r>
    </w:p>
    <w:p w14:paraId="01FE30B8">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 w:hAnsi="仿宋" w:eastAsia="仿宋" w:cs="仿宋"/>
          <w:kern w:val="0"/>
          <w:sz w:val="32"/>
          <w:szCs w:val="32"/>
        </w:rPr>
        <w:t>体育赛事备战专项项目</w:t>
      </w:r>
      <w:r>
        <w:rPr>
          <w:rFonts w:hint="eastAsia" w:ascii="仿宋_GB2312" w:hAnsi="仿宋_GB2312" w:cs="仿宋_GB2312"/>
          <w:sz w:val="32"/>
          <w:szCs w:val="32"/>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5A1C8EFD">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中心</w:t>
      </w:r>
      <w:r>
        <w:rPr>
          <w:rFonts w:hint="eastAsia" w:ascii="仿宋_GB2312" w:hAnsi="仿宋_GB2312" w:eastAsia="仿宋_GB2312" w:cs="仿宋_GB2312"/>
          <w:sz w:val="32"/>
          <w:szCs w:val="32"/>
        </w:rPr>
        <w:t>从决策、过程、产出、成本和效果五个方面针对本项目进行评价，通过开展绩效评价，提高财政资金分配的科学性、有效性，向建立绩效预算制度迈出重要的一步。</w:t>
      </w:r>
    </w:p>
    <w:p w14:paraId="379A7844">
      <w:pPr>
        <w:spacing w:line="520" w:lineRule="exact"/>
        <w:ind w:firstLine="643" w:firstLineChars="200"/>
        <w:jc w:val="left"/>
        <w:outlineLvl w:val="0"/>
        <w:rPr>
          <w:rFonts w:ascii="楷体" w:hAnsi="楷体" w:eastAsia="楷体" w:cs="楷体"/>
          <w:b/>
          <w:bCs/>
          <w:sz w:val="32"/>
          <w:szCs w:val="32"/>
        </w:rPr>
      </w:pPr>
      <w:r>
        <w:rPr>
          <w:rFonts w:hint="eastAsia" w:ascii="楷体" w:hAnsi="楷体" w:eastAsia="楷体" w:cs="楷体"/>
          <w:b/>
          <w:bCs/>
          <w:sz w:val="32"/>
          <w:szCs w:val="32"/>
        </w:rPr>
        <w:t>（二）绩效评价原则、评价指标体系、评价方法、评价标准等。</w:t>
      </w:r>
    </w:p>
    <w:p w14:paraId="44B6A77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1、绩效评价原则</w:t>
      </w:r>
    </w:p>
    <w:p w14:paraId="5176F26F">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w:t>
      </w:r>
      <w:r>
        <w:rPr>
          <w:rFonts w:hint="eastAsia" w:ascii="仿宋_GB2312" w:hAnsi="仿宋_GB2312" w:cs="仿宋_GB2312"/>
          <w:sz w:val="32"/>
          <w:szCs w:val="32"/>
        </w:rPr>
        <w:t>1</w:t>
      </w:r>
      <w:r>
        <w:rPr>
          <w:rFonts w:ascii="仿宋_GB2312" w:hAnsi="仿宋_GB2312" w:cs="仿宋_GB2312"/>
          <w:sz w:val="32"/>
          <w:szCs w:val="32"/>
        </w:rPr>
        <w:t>）科学公正</w:t>
      </w:r>
      <w:r>
        <w:rPr>
          <w:rFonts w:hint="eastAsia" w:ascii="仿宋_GB2312" w:hAnsi="仿宋_GB2312" w:cs="仿宋_GB2312"/>
          <w:sz w:val="32"/>
          <w:szCs w:val="32"/>
        </w:rPr>
        <w:t>、科学规范原则</w:t>
      </w:r>
      <w:r>
        <w:rPr>
          <w:rFonts w:ascii="仿宋_GB2312" w:hAnsi="仿宋_GB2312" w:cs="仿宋_GB2312"/>
          <w:sz w:val="32"/>
          <w:szCs w:val="32"/>
        </w:rPr>
        <w:t>。绩效评价应当运用科学合理的方法，按照规范的程序，对项目绩效进行客观、公正的反映</w:t>
      </w:r>
      <w:r>
        <w:rPr>
          <w:rFonts w:hint="eastAsia" w:ascii="仿宋_GB2312" w:hAnsi="仿宋_GB2312" w:cs="仿宋_GB2312"/>
          <w:sz w:val="32"/>
          <w:szCs w:val="32"/>
        </w:rPr>
        <w:t>，按照科学可行的要求，采用定量与定性分析相结合的方法。</w:t>
      </w:r>
    </w:p>
    <w:p w14:paraId="4514D20A">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w:t>
      </w:r>
      <w:r>
        <w:rPr>
          <w:rFonts w:hint="eastAsia" w:ascii="仿宋_GB2312" w:hAnsi="仿宋_GB2312" w:cs="仿宋_GB2312"/>
          <w:sz w:val="32"/>
          <w:szCs w:val="32"/>
        </w:rPr>
        <w:t>2</w:t>
      </w:r>
      <w:r>
        <w:rPr>
          <w:rFonts w:ascii="仿宋_GB2312" w:hAnsi="仿宋_GB2312" w:cs="仿宋_GB2312"/>
          <w:sz w:val="32"/>
          <w:szCs w:val="32"/>
        </w:rPr>
        <w:t>）</w:t>
      </w:r>
      <w:r>
        <w:rPr>
          <w:rFonts w:hint="eastAsia" w:ascii="仿宋_GB2312" w:hAnsi="仿宋_GB2312" w:cs="仿宋_GB2312"/>
          <w:sz w:val="32"/>
          <w:szCs w:val="32"/>
        </w:rPr>
        <w:t>分级分类原则</w:t>
      </w:r>
      <w:r>
        <w:rPr>
          <w:rFonts w:ascii="仿宋_GB2312" w:hAnsi="仿宋_GB2312" w:cs="仿宋_GB2312"/>
          <w:sz w:val="32"/>
          <w:szCs w:val="32"/>
        </w:rPr>
        <w:t>。</w:t>
      </w:r>
      <w:r>
        <w:rPr>
          <w:rFonts w:hint="eastAsia" w:ascii="仿宋_GB2312" w:hAnsi="仿宋_GB2312" w:cs="仿宋_GB2312"/>
          <w:sz w:val="32"/>
          <w:szCs w:val="32"/>
        </w:rPr>
        <w:t>我单位根据</w:t>
      </w:r>
      <w:r>
        <w:rPr>
          <w:rFonts w:ascii="仿宋_GB2312" w:hAnsi="仿宋_GB2312" w:cs="仿宋_GB2312"/>
          <w:sz w:val="32"/>
          <w:szCs w:val="32"/>
        </w:rPr>
        <w:t>“谁支出、谁自评”</w:t>
      </w:r>
      <w:r>
        <w:rPr>
          <w:rFonts w:hint="eastAsia" w:ascii="仿宋_GB2312" w:hAnsi="仿宋_GB2312" w:cs="仿宋_GB2312"/>
          <w:sz w:val="32"/>
          <w:szCs w:val="32"/>
        </w:rPr>
        <w:t>的原则，根据评价对象的特点分类组织实施绩效</w:t>
      </w:r>
      <w:r>
        <w:rPr>
          <w:rFonts w:ascii="仿宋_GB2312" w:hAnsi="仿宋_GB2312" w:cs="仿宋_GB2312"/>
          <w:sz w:val="32"/>
          <w:szCs w:val="32"/>
        </w:rPr>
        <w:t>评价</w:t>
      </w:r>
      <w:r>
        <w:rPr>
          <w:rFonts w:hint="eastAsia" w:ascii="仿宋_GB2312" w:hAnsi="仿宋_GB2312" w:cs="仿宋_GB2312"/>
          <w:sz w:val="32"/>
          <w:szCs w:val="32"/>
        </w:rPr>
        <w:t>工作，与相关单位</w:t>
      </w:r>
      <w:r>
        <w:rPr>
          <w:rFonts w:ascii="仿宋_GB2312" w:hAnsi="仿宋_GB2312" w:cs="仿宋_GB2312"/>
          <w:sz w:val="32"/>
          <w:szCs w:val="32"/>
        </w:rPr>
        <w:t>职责明确，各有侧重，相互衔接。</w:t>
      </w:r>
    </w:p>
    <w:p w14:paraId="15EF01F7">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w:t>
      </w:r>
      <w:r>
        <w:rPr>
          <w:rFonts w:hint="eastAsia" w:ascii="仿宋_GB2312" w:hAnsi="仿宋_GB2312" w:cs="仿宋_GB2312"/>
          <w:sz w:val="32"/>
          <w:szCs w:val="32"/>
        </w:rPr>
        <w:t>3</w:t>
      </w:r>
      <w:r>
        <w:rPr>
          <w:rFonts w:ascii="仿宋_GB2312" w:hAnsi="仿宋_GB2312" w:cs="仿宋_GB2312"/>
          <w:sz w:val="32"/>
          <w:szCs w:val="32"/>
        </w:rPr>
        <w:t>）</w:t>
      </w:r>
      <w:r>
        <w:rPr>
          <w:rFonts w:hint="eastAsia" w:ascii="仿宋_GB2312" w:hAnsi="仿宋_GB2312" w:cs="仿宋_GB2312"/>
          <w:sz w:val="32"/>
          <w:szCs w:val="32"/>
        </w:rPr>
        <w:t>绩效相关原则</w:t>
      </w:r>
      <w:r>
        <w:rPr>
          <w:rFonts w:ascii="仿宋_GB2312" w:hAnsi="仿宋_GB2312" w:cs="仿宋_GB2312"/>
          <w:sz w:val="32"/>
          <w:szCs w:val="32"/>
        </w:rPr>
        <w:t>。</w:t>
      </w:r>
      <w:r>
        <w:rPr>
          <w:rFonts w:hint="eastAsia" w:ascii="仿宋_GB2312" w:hAnsi="仿宋_GB2312" w:cs="仿宋_GB2312"/>
          <w:sz w:val="32"/>
          <w:szCs w:val="32"/>
        </w:rPr>
        <w:t>我单位绩效评价针对具体投入及其产出绩效进行，评价结果清晰反映了支出和产出绩效之间的紧密对应关系。</w:t>
      </w:r>
    </w:p>
    <w:p w14:paraId="661EAD04">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w:t>
      </w:r>
      <w:r>
        <w:rPr>
          <w:rFonts w:hint="eastAsia" w:ascii="仿宋_GB2312" w:hAnsi="仿宋_GB2312" w:cs="仿宋_GB2312"/>
          <w:sz w:val="32"/>
          <w:szCs w:val="32"/>
        </w:rPr>
        <w:t>4</w:t>
      </w:r>
      <w:r>
        <w:rPr>
          <w:rFonts w:ascii="仿宋_GB2312" w:hAnsi="仿宋_GB2312" w:cs="仿宋_GB2312"/>
          <w:sz w:val="32"/>
          <w:szCs w:val="32"/>
        </w:rPr>
        <w:t>）</w:t>
      </w:r>
      <w:r>
        <w:rPr>
          <w:rFonts w:hint="eastAsia" w:ascii="仿宋_GB2312" w:hAnsi="仿宋_GB2312" w:cs="仿宋_GB2312"/>
          <w:sz w:val="32"/>
          <w:szCs w:val="32"/>
        </w:rPr>
        <w:t>公正</w:t>
      </w:r>
      <w:r>
        <w:rPr>
          <w:rFonts w:ascii="仿宋_GB2312" w:hAnsi="仿宋_GB2312" w:cs="仿宋_GB2312"/>
          <w:sz w:val="32"/>
          <w:szCs w:val="32"/>
        </w:rPr>
        <w:t>公开</w:t>
      </w:r>
      <w:r>
        <w:rPr>
          <w:rFonts w:hint="eastAsia" w:ascii="仿宋_GB2312" w:hAnsi="仿宋_GB2312" w:cs="仿宋_GB2312"/>
          <w:sz w:val="32"/>
          <w:szCs w:val="32"/>
        </w:rPr>
        <w:t>、</w:t>
      </w:r>
      <w:r>
        <w:rPr>
          <w:rFonts w:ascii="仿宋_GB2312" w:hAnsi="仿宋_GB2312" w:cs="仿宋_GB2312"/>
          <w:sz w:val="32"/>
          <w:szCs w:val="32"/>
        </w:rPr>
        <w:t>透明</w:t>
      </w:r>
      <w:r>
        <w:rPr>
          <w:rFonts w:hint="eastAsia" w:ascii="仿宋_GB2312" w:hAnsi="仿宋_GB2312" w:cs="仿宋_GB2312"/>
          <w:sz w:val="32"/>
          <w:szCs w:val="32"/>
        </w:rPr>
        <w:t>原则</w:t>
      </w:r>
      <w:r>
        <w:rPr>
          <w:rFonts w:ascii="仿宋_GB2312" w:hAnsi="仿宋_GB2312" w:cs="仿宋_GB2312"/>
          <w:sz w:val="32"/>
          <w:szCs w:val="32"/>
        </w:rPr>
        <w:t>。绩效评价结果</w:t>
      </w:r>
      <w:r>
        <w:rPr>
          <w:rFonts w:hint="eastAsia" w:ascii="仿宋_GB2312" w:hAnsi="仿宋_GB2312" w:cs="仿宋_GB2312"/>
          <w:sz w:val="32"/>
          <w:szCs w:val="32"/>
        </w:rPr>
        <w:t>应当符合真实、客观、公正的要求，</w:t>
      </w:r>
      <w:r>
        <w:rPr>
          <w:rFonts w:ascii="仿宋_GB2312" w:hAnsi="仿宋_GB2312" w:cs="仿宋_GB2312"/>
          <w:sz w:val="32"/>
          <w:szCs w:val="32"/>
        </w:rPr>
        <w:t>依法依规公开，并自觉接受社会监督。</w:t>
      </w:r>
    </w:p>
    <w:p w14:paraId="0F390E1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2、评价指标体系</w:t>
      </w:r>
    </w:p>
    <w:p w14:paraId="6F8A83FE">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22362A8F">
      <w:pPr>
        <w:spacing w:line="520" w:lineRule="exact"/>
        <w:ind w:firstLine="640" w:firstLineChars="200"/>
        <w:jc w:val="left"/>
        <w:rPr>
          <w:rFonts w:ascii="仿宋_GB2312" w:hAnsi="仿宋_GB2312" w:cs="仿宋_GB2312"/>
          <w:sz w:val="32"/>
          <w:szCs w:val="32"/>
          <w:lang w:val="zh-TW" w:eastAsia="zh-TW"/>
        </w:rPr>
      </w:pPr>
      <w:r>
        <w:rPr>
          <w:rFonts w:hint="eastAsia" w:ascii="仿宋_GB2312" w:hAnsi="仿宋_GB2312" w:cs="仿宋_GB2312"/>
          <w:sz w:val="32"/>
          <w:szCs w:val="32"/>
        </w:rPr>
        <w:t>项目</w:t>
      </w:r>
      <w:r>
        <w:rPr>
          <w:rFonts w:hint="eastAsia" w:ascii="仿宋_GB2312" w:hAnsi="仿宋_GB2312" w:cs="仿宋_GB2312"/>
          <w:sz w:val="32"/>
          <w:szCs w:val="32"/>
          <w:lang w:val="zh-TW" w:eastAsia="zh-TW"/>
        </w:rPr>
        <w:t>财政支出绩效评价指标体系严格按照《项目支出绩效评价管理办法》（财预〔2020〕10号）文件要求设置，</w:t>
      </w:r>
      <w:r>
        <w:rPr>
          <w:rFonts w:hint="eastAsia" w:ascii="仿宋_GB2312" w:hAnsi="仿宋_GB2312" w:cs="仿宋_GB2312"/>
          <w:sz w:val="32"/>
          <w:szCs w:val="32"/>
        </w:rPr>
        <w:t>指标体系设置一级指标共5个</w:t>
      </w:r>
      <w:r>
        <w:rPr>
          <w:rFonts w:hint="eastAsia" w:ascii="仿宋_GB2312" w:hAnsi="仿宋_GB2312" w:cs="仿宋_GB2312"/>
          <w:sz w:val="32"/>
          <w:szCs w:val="32"/>
          <w:lang w:val="zh-TW" w:eastAsia="zh-TW"/>
        </w:rPr>
        <w:t>，包括决策</w:t>
      </w:r>
      <w:r>
        <w:rPr>
          <w:rFonts w:hint="eastAsia" w:ascii="仿宋_GB2312" w:hAnsi="仿宋_GB2312" w:cs="仿宋_GB2312"/>
          <w:sz w:val="32"/>
          <w:szCs w:val="32"/>
        </w:rPr>
        <w:t>指标</w:t>
      </w:r>
      <w:r>
        <w:rPr>
          <w:rFonts w:hint="eastAsia" w:ascii="仿宋_GB2312" w:hAnsi="仿宋_GB2312" w:cs="仿宋_GB2312"/>
          <w:sz w:val="32"/>
          <w:szCs w:val="32"/>
          <w:lang w:val="zh-TW" w:eastAsia="zh-TW"/>
        </w:rPr>
        <w:t>（2</w:t>
      </w:r>
      <w:r>
        <w:rPr>
          <w:rFonts w:hint="eastAsia" w:ascii="仿宋_GB2312" w:hAnsi="仿宋_GB2312" w:cs="仿宋_GB2312"/>
          <w:sz w:val="32"/>
          <w:szCs w:val="32"/>
        </w:rPr>
        <w:t>0</w:t>
      </w:r>
      <w:r>
        <w:rPr>
          <w:rFonts w:hint="eastAsia" w:ascii="仿宋_GB2312" w:hAnsi="仿宋_GB2312" w:cs="仿宋_GB2312"/>
          <w:sz w:val="32"/>
          <w:szCs w:val="32"/>
          <w:lang w:val="zh-TW" w:eastAsia="zh-TW"/>
        </w:rPr>
        <w:t>%）、</w:t>
      </w:r>
      <w:r>
        <w:rPr>
          <w:rFonts w:hint="eastAsia" w:ascii="仿宋_GB2312" w:hAnsi="仿宋_GB2312" w:cs="仿宋_GB2312"/>
          <w:sz w:val="32"/>
          <w:szCs w:val="32"/>
        </w:rPr>
        <w:t>过程指标</w:t>
      </w:r>
      <w:r>
        <w:rPr>
          <w:rFonts w:hint="eastAsia" w:ascii="仿宋_GB2312" w:hAnsi="仿宋_GB2312" w:cs="仿宋_GB2312"/>
          <w:sz w:val="32"/>
          <w:szCs w:val="32"/>
          <w:lang w:val="zh-TW" w:eastAsia="zh-TW"/>
        </w:rPr>
        <w:t>（</w:t>
      </w:r>
      <w:r>
        <w:rPr>
          <w:rFonts w:hint="eastAsia" w:ascii="仿宋_GB2312" w:hAnsi="仿宋_GB2312" w:cs="仿宋_GB2312"/>
          <w:sz w:val="32"/>
          <w:szCs w:val="32"/>
        </w:rPr>
        <w:t>20</w:t>
      </w:r>
      <w:r>
        <w:rPr>
          <w:rFonts w:hint="eastAsia" w:ascii="仿宋_GB2312" w:hAnsi="仿宋_GB2312" w:cs="仿宋_GB2312"/>
          <w:sz w:val="32"/>
          <w:szCs w:val="32"/>
          <w:lang w:val="zh-TW" w:eastAsia="zh-TW"/>
        </w:rPr>
        <w:t>%）、</w:t>
      </w:r>
      <w:r>
        <w:rPr>
          <w:rFonts w:hint="eastAsia" w:ascii="仿宋_GB2312" w:hAnsi="仿宋_GB2312" w:cs="仿宋_GB2312"/>
          <w:sz w:val="32"/>
          <w:szCs w:val="32"/>
        </w:rPr>
        <w:t>产出指标（20%）、成本指标（10%）、效益指标（30%）五类</w:t>
      </w:r>
      <w:r>
        <w:rPr>
          <w:rFonts w:hint="eastAsia" w:ascii="仿宋_GB2312" w:hAnsi="仿宋_GB2312" w:cs="仿宋_GB2312"/>
          <w:sz w:val="32"/>
          <w:szCs w:val="32"/>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68C965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我单位经过一系列论证，从决策、过程、产出、成本和效果五个过程进行评价，涉及二级指标10个，三级指标17个，具体评价指标体系附表说明：</w:t>
      </w:r>
    </w:p>
    <w:p w14:paraId="782919ED">
      <w:pPr>
        <w:spacing w:line="520" w:lineRule="exact"/>
        <w:ind w:firstLine="640" w:firstLineChars="200"/>
        <w:jc w:val="left"/>
        <w:rPr>
          <w:rFonts w:ascii="仿宋_GB2312" w:hAnsi="仿宋_GB2312" w:cs="仿宋_GB2312"/>
          <w:sz w:val="32"/>
          <w:szCs w:val="32"/>
        </w:rPr>
        <w:sectPr>
          <w:pgSz w:w="11906" w:h="16838"/>
          <w:pgMar w:top="2098" w:right="1531" w:bottom="1984" w:left="1531" w:header="737" w:footer="851" w:gutter="0"/>
          <w:cols w:space="720" w:num="1"/>
          <w:docGrid w:type="lines" w:linePitch="408" w:charSpace="0"/>
        </w:sectPr>
      </w:pPr>
    </w:p>
    <w:p w14:paraId="0544A7A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3.评价方法</w:t>
      </w:r>
    </w:p>
    <w:p w14:paraId="6049A68B">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 xml:space="preserve">成本效益分析法。是指将投入与产出、效益进行关联性分析的方法。 </w:t>
      </w:r>
    </w:p>
    <w:p w14:paraId="4F1291E0">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比较法。是指将实施情况与绩效目标、历史情况、不同部门和地区同类支出情况进行比较的方法。</w:t>
      </w:r>
    </w:p>
    <w:p w14:paraId="015FF9D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最低成本法。是指在绩效目标确定的前提下，成本最小者为优的方法。</w:t>
      </w:r>
    </w:p>
    <w:p w14:paraId="268A82A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标杆管理法。是指以国内外同行业中较高的绩效水平为标杆进行评判的方法。</w:t>
      </w:r>
    </w:p>
    <w:p w14:paraId="3FC47745">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结合本单位项目开展具体情况，我单位采用了比较法、成本效益分析法，通过着重</w:t>
      </w:r>
      <w:r>
        <w:rPr>
          <w:rFonts w:ascii="仿宋_GB2312" w:hAnsi="仿宋_GB2312" w:cs="仿宋_GB2312"/>
          <w:sz w:val="32"/>
          <w:szCs w:val="32"/>
        </w:rPr>
        <w:t>比较项目的全部成本和效益来评估项目价值</w:t>
      </w:r>
      <w:r>
        <w:rPr>
          <w:rFonts w:hint="eastAsia" w:ascii="仿宋_GB2312" w:hAnsi="仿宋_GB2312" w:cs="仿宋_GB2312"/>
          <w:sz w:val="32"/>
          <w:szCs w:val="32"/>
        </w:rPr>
        <w:t>，确定三级指标得分情况。</w:t>
      </w:r>
    </w:p>
    <w:p w14:paraId="03827CE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4、评价标准</w:t>
      </w:r>
    </w:p>
    <w:p w14:paraId="75E489F3">
      <w:pPr>
        <w:spacing w:line="520" w:lineRule="exact"/>
        <w:ind w:firstLine="640" w:firstLineChars="200"/>
        <w:jc w:val="left"/>
        <w:rPr>
          <w:rFonts w:ascii="仿宋_GB2312" w:hAnsi="仿宋_GB2312" w:cs="仿宋_GB2312"/>
          <w:sz w:val="32"/>
          <w:szCs w:val="32"/>
        </w:rPr>
      </w:pPr>
      <w:r>
        <w:rPr>
          <w:rFonts w:ascii="仿宋_GB2312" w:hAnsi="仿宋_GB2312" w:cs="仿宋_GB2312"/>
          <w:sz w:val="32"/>
          <w:szCs w:val="32"/>
        </w:rPr>
        <w:t>绩效评价标准通常包括计划标准、行业标准、历史标准等，用于对绩效指标完成情况进行比较。</w:t>
      </w:r>
      <w:r>
        <w:rPr>
          <w:rFonts w:hint="eastAsia" w:ascii="仿宋_GB2312" w:hAnsi="仿宋_GB2312" w:cs="仿宋_GB2312"/>
          <w:sz w:val="32"/>
          <w:szCs w:val="32"/>
        </w:rPr>
        <w:t>我单位针对该项目采用的历史评价标准，参考近三年绩效指标平均值、上年值，</w:t>
      </w:r>
      <w:r>
        <w:rPr>
          <w:rFonts w:ascii="仿宋_GB2312" w:hAnsi="仿宋_GB2312" w:cs="仿宋_GB2312"/>
          <w:sz w:val="32"/>
          <w:szCs w:val="32"/>
        </w:rPr>
        <w:t>对绩效指标完成情况进行</w:t>
      </w:r>
      <w:r>
        <w:rPr>
          <w:rFonts w:hint="eastAsia" w:ascii="仿宋_GB2312" w:hAnsi="仿宋_GB2312" w:cs="仿宋_GB2312"/>
          <w:sz w:val="32"/>
          <w:szCs w:val="32"/>
        </w:rPr>
        <w:t>评价</w:t>
      </w:r>
      <w:r>
        <w:rPr>
          <w:rFonts w:ascii="仿宋_GB2312" w:hAnsi="仿宋_GB2312" w:cs="仿宋_GB2312"/>
          <w:sz w:val="32"/>
          <w:szCs w:val="32"/>
        </w:rPr>
        <w:t>。</w:t>
      </w:r>
    </w:p>
    <w:p w14:paraId="2792663E">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5、其他相关依据文件及项目单位提供的其他佐证材料等</w:t>
      </w:r>
    </w:p>
    <w:p w14:paraId="7AEBB71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依据上述评价标准，项目部门需提供的佐证材料为工作资料：部门总结、相关业务资料等。说明材料：针对无直接佐证材料或者综合性的内容，由相关单位、人员出具正式说明。</w:t>
      </w:r>
    </w:p>
    <w:p w14:paraId="2F6F7CBD">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br w:type="page"/>
      </w:r>
    </w:p>
    <w:p w14:paraId="3A8FD31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（三）绩效评价工作过程。</w:t>
      </w:r>
    </w:p>
    <w:p w14:paraId="4454B6E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为了提高财政资金分配的科学性、有效性，加强财政专项资金管理，提高支出效益，我单位自项目下达之日高度重视，具体绩效评价工作过程如下:</w:t>
      </w:r>
    </w:p>
    <w:p w14:paraId="7C1C6D64">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1、确定绩效评价对象和范围</w:t>
      </w:r>
    </w:p>
    <w:p w14:paraId="2E6A309B">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777F096B">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2、收集绩效评价相关数据资料</w:t>
      </w:r>
    </w:p>
    <w:p w14:paraId="75FCAB6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我单位根据需要采取要求相关部门提供资料，包括工作资料、部门总结、相关业务资料、原始凭证、合同、说明材料等。</w:t>
      </w:r>
    </w:p>
    <w:p w14:paraId="48CBCC70">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3、与项目相关科室交换意见</w:t>
      </w:r>
    </w:p>
    <w:p w14:paraId="4DB887F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我单位绩效评价工作人员及时将绩效评价结果反馈到相关部门，并就绩效评价结果进行积极的沟通，进一步完善评价报告。</w:t>
      </w:r>
    </w:p>
    <w:p w14:paraId="2E189F33">
      <w:pPr>
        <w:spacing w:line="520" w:lineRule="exact"/>
        <w:ind w:firstLine="643" w:firstLineChars="200"/>
        <w:jc w:val="left"/>
        <w:rPr>
          <w:rFonts w:ascii="仿宋_GB2312" w:hAnsi="仿宋_GB2312" w:cs="仿宋_GB2312"/>
          <w:b/>
          <w:bCs/>
          <w:sz w:val="32"/>
          <w:szCs w:val="32"/>
        </w:rPr>
      </w:pPr>
      <w:r>
        <w:rPr>
          <w:rFonts w:hint="eastAsia" w:ascii="仿宋_GB2312" w:hAnsi="仿宋_GB2312" w:cs="仿宋_GB2312"/>
          <w:b/>
          <w:bCs/>
          <w:sz w:val="32"/>
          <w:szCs w:val="32"/>
        </w:rPr>
        <w:t>三、综合评价情况及评价结论</w:t>
      </w:r>
    </w:p>
    <w:p w14:paraId="259107E2">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1DBC3CE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经认真对照《项目支出绩效评价指标体系》，我单位体育赛事备战专项项目指标都较好地达到了相关要求，项目评价得分：100分，评价等级为：优。具体得分情况附表说明：</w:t>
      </w:r>
    </w:p>
    <w:p w14:paraId="52FDC279">
      <w:pPr>
        <w:spacing w:line="520" w:lineRule="exact"/>
        <w:ind w:firstLine="643" w:firstLineChars="200"/>
        <w:jc w:val="left"/>
        <w:rPr>
          <w:rFonts w:ascii="仿宋_GB2312" w:hAnsi="仿宋_GB2312" w:cs="仿宋_GB2312"/>
          <w:b/>
          <w:bCs/>
          <w:sz w:val="32"/>
          <w:szCs w:val="32"/>
        </w:rPr>
      </w:pPr>
      <w:r>
        <w:rPr>
          <w:rFonts w:hint="eastAsia" w:ascii="仿宋_GB2312" w:hAnsi="仿宋_GB2312" w:cs="仿宋_GB2312"/>
          <w:b/>
          <w:bCs/>
          <w:sz w:val="32"/>
          <w:szCs w:val="32"/>
        </w:rPr>
        <w:t>四、绩效评价指标分析</w:t>
      </w:r>
    </w:p>
    <w:p w14:paraId="27FCF9EF">
      <w:pPr>
        <w:spacing w:line="520" w:lineRule="exact"/>
        <w:ind w:firstLine="643" w:firstLineChars="200"/>
        <w:outlineLvl w:val="0"/>
        <w:rPr>
          <w:rFonts w:ascii="仿宋" w:hAnsi="仿宋" w:eastAsia="仿宋" w:cs="仿宋"/>
          <w:b/>
          <w:bCs/>
          <w:sz w:val="32"/>
          <w:szCs w:val="32"/>
        </w:rPr>
      </w:pPr>
      <w:r>
        <w:rPr>
          <w:rFonts w:hint="eastAsia" w:ascii="仿宋" w:hAnsi="仿宋" w:eastAsia="仿宋" w:cs="仿宋"/>
          <w:b/>
          <w:bCs/>
          <w:sz w:val="32"/>
          <w:szCs w:val="32"/>
        </w:rPr>
        <w:t>（一）项目决策分析</w:t>
      </w:r>
    </w:p>
    <w:p w14:paraId="592C5B1E">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项目决策分析主要是对项目立项、绩效目标及资金投入进行分析。项目决策类指标由3个二级指标和6个三级指标构成，该项满分为20分，得分20分，得分率100%。</w:t>
      </w:r>
    </w:p>
    <w:p w14:paraId="7354B82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1、项目立项分析（得分6分）</w:t>
      </w:r>
    </w:p>
    <w:p w14:paraId="200574C9">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（1）立项依据充分性（得分3分）</w:t>
      </w:r>
    </w:p>
    <w:p w14:paraId="7F9C79B9">
      <w:pPr>
        <w:spacing w:line="560" w:lineRule="exact"/>
        <w:ind w:firstLine="640" w:firstLineChars="200"/>
        <w:outlineLvl w:val="0"/>
        <w:rPr>
          <w:rFonts w:hint="eastAsia" w:ascii="仿宋" w:hAnsi="仿宋" w:eastAsia="仿宋" w:cs="仿宋"/>
          <w:sz w:val="32"/>
          <w:szCs w:val="32"/>
          <w:lang w:val="zh-TW"/>
        </w:rPr>
      </w:pPr>
      <w:r>
        <w:rPr>
          <w:rFonts w:hint="eastAsia" w:ascii="仿宋_GB2312" w:hAnsi="仿宋_GB2312" w:cs="仿宋_GB2312"/>
          <w:sz w:val="32"/>
          <w:szCs w:val="32"/>
        </w:rPr>
        <w:t>①项目立项依据是《中华人民共和国体育法》、《新疆维吾尔自治区体育发展条例》、全国第十</w:t>
      </w:r>
      <w:bookmarkStart w:id="0" w:name="_GoBack"/>
      <w:bookmarkEnd w:id="0"/>
      <w:r>
        <w:rPr>
          <w:rFonts w:hint="eastAsia" w:ascii="仿宋_GB2312" w:hAnsi="仿宋_GB2312" w:cs="仿宋_GB2312"/>
          <w:sz w:val="32"/>
          <w:szCs w:val="32"/>
        </w:rPr>
        <w:t>五届运动会</w:t>
      </w:r>
      <w:r>
        <w:rPr>
          <w:rFonts w:hint="eastAsia" w:ascii="仿宋" w:hAnsi="仿宋" w:eastAsia="仿宋" w:cs="仿宋"/>
          <w:sz w:val="32"/>
          <w:szCs w:val="32"/>
        </w:rPr>
        <w:t>、年度锦标赛、冠军赛等一类赛事和常规赛事需要，</w:t>
      </w:r>
      <w:r>
        <w:rPr>
          <w:rFonts w:hint="eastAsia" w:ascii="仿宋" w:hAnsi="仿宋" w:eastAsia="仿宋" w:cs="仿宋"/>
          <w:sz w:val="32"/>
          <w:szCs w:val="32"/>
          <w:lang w:val="zh-TW"/>
        </w:rPr>
        <w:t>符合国家法律法规和相关政策；</w:t>
      </w:r>
    </w:p>
    <w:p w14:paraId="43E000B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②项目立项依据《自治区财政资金使用跟踪反馈管理暂行办法》（新财预﹝2016﹞113)，符合部门或行业发展规划和政策要求；</w:t>
      </w:r>
    </w:p>
    <w:p w14:paraId="2EB71618">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（2）立项程序规范性（得分3分）</w:t>
      </w:r>
    </w:p>
    <w:p w14:paraId="2475D8FB">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①项目按照规定的程序申请设立；</w:t>
      </w:r>
    </w:p>
    <w:p w14:paraId="0A39FFC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②审批文件、材料符合相关要求；以相关法律、法规、规章以及财政部有关文件等为依据，并收集足够的相关文件及资料，通过现场调研为评估结论提供充分的依据支持。</w:t>
      </w:r>
    </w:p>
    <w:p w14:paraId="6FC98A82">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2、绩效目标分析（得分8分）</w:t>
      </w:r>
    </w:p>
    <w:p w14:paraId="06F70228">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（1）绩效目标合理性（得分4分）</w:t>
      </w:r>
    </w:p>
    <w:p w14:paraId="093FAE3E">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项目设定绩效目标；项目设定一级指标3个，二级指标4个，三级指标8个。项目绩效目标与实际工作内容具有相关性；项目预期产出效益和效果符合正常的业绩水平；与预算确定的项目投资额或资金量相匹配。</w:t>
      </w:r>
    </w:p>
    <w:p w14:paraId="5628E7B9">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（2）绩效指标明确性（得分4分）</w:t>
      </w:r>
    </w:p>
    <w:p w14:paraId="2A7EEC1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项目实施有明确的年度目标，且将绩效目标细化为一级指标3个，二级指标4个，三级指标8个。</w:t>
      </w:r>
    </w:p>
    <w:p w14:paraId="632F029F">
      <w:pPr>
        <w:pStyle w:val="14"/>
        <w:numPr>
          <w:ilvl w:val="0"/>
          <w:numId w:val="1"/>
        </w:numPr>
        <w:spacing w:line="520" w:lineRule="exact"/>
        <w:ind w:firstLineChars="0"/>
        <w:jc w:val="left"/>
        <w:rPr>
          <w:rFonts w:ascii="仿宋_GB2312" w:hAnsi="仿宋_GB2312" w:cs="仿宋_GB2312"/>
          <w:sz w:val="32"/>
          <w:szCs w:val="32"/>
        </w:rPr>
      </w:pPr>
      <w:r>
        <w:rPr>
          <w:rFonts w:hint="eastAsia" w:ascii="仿宋_GB2312" w:hAnsi="仿宋_GB2312" w:cs="仿宋_GB2312"/>
          <w:sz w:val="32"/>
          <w:szCs w:val="32"/>
        </w:rPr>
        <w:t>项目绩效目标细化分解为具体的绩效指标如下：</w:t>
      </w:r>
    </w:p>
    <w:p w14:paraId="4914E2BD">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数量指标：参加国内大型运动会比赛人次≥411人次；购买运动员教练员训练装备数量≥340套；外聘教练员工资发放次数=12次；后备人才培养人数≥120人。</w:t>
      </w:r>
    </w:p>
    <w:p w14:paraId="0CDD9806">
      <w:pPr>
        <w:spacing w:line="560" w:lineRule="exact"/>
        <w:ind w:left="318" w:leftChars="106" w:firstLine="320" w:firstLineChars="100"/>
        <w:outlineLvl w:val="0"/>
        <w:rPr>
          <w:rFonts w:hint="eastAsia" w:ascii="仿宋" w:hAnsi="仿宋" w:eastAsia="仿宋" w:cs="仿宋"/>
          <w:sz w:val="32"/>
          <w:szCs w:val="32"/>
        </w:rPr>
      </w:pPr>
      <w:r>
        <w:rPr>
          <w:rFonts w:hint="eastAsia" w:ascii="仿宋" w:hAnsi="仿宋" w:eastAsia="仿宋" w:cs="仿宋"/>
          <w:sz w:val="32"/>
          <w:szCs w:val="32"/>
        </w:rPr>
        <w:t>质量指标：运动队按时参赛率≥95%；购买训练装备、设备验收合格率≥90%；</w:t>
      </w:r>
    </w:p>
    <w:p w14:paraId="73B3FB33">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社会效益指标：有效促进竞技体育事业发展。</w:t>
      </w:r>
    </w:p>
    <w:p w14:paraId="3EF085EB">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满意度指标：</w:t>
      </w:r>
      <w:r>
        <w:rPr>
          <w:rFonts w:hint="eastAsia" w:ascii="仿宋" w:hAnsi="仿宋" w:eastAsia="仿宋" w:cs="仿宋"/>
          <w:sz w:val="32"/>
          <w:szCs w:val="32"/>
          <w:lang w:val="en-US" w:eastAsia="zh-CN"/>
        </w:rPr>
        <w:t>受益</w:t>
      </w:r>
      <w:r>
        <w:rPr>
          <w:rFonts w:hint="eastAsia" w:ascii="仿宋" w:hAnsi="仿宋" w:eastAsia="仿宋" w:cs="仿宋"/>
          <w:sz w:val="32"/>
          <w:szCs w:val="32"/>
        </w:rPr>
        <w:t>运动员满意度≥95%。</w:t>
      </w:r>
    </w:p>
    <w:p w14:paraId="27F5DBA0">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②绩效指标通过清晰、可衡量的指标值予以体现；通过指标设定数与实际完成数对比，各项指标均已完成。</w:t>
      </w:r>
    </w:p>
    <w:p w14:paraId="71E9E03F">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③与项目目标任务数或计划数相对应。</w:t>
      </w:r>
    </w:p>
    <w:p w14:paraId="59B6B99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3、资金投入分析（得分6分）</w:t>
      </w:r>
    </w:p>
    <w:p w14:paraId="3FEF73B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预算编制科学性（得分3分）：本项目预算1390.55万元，项目预算内容与项目内容相匹配，预算确定的项目资金量与实际工作完成所需资金量基本相适应。</w:t>
      </w:r>
    </w:p>
    <w:p w14:paraId="2969CEFB">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资金分配合理性（得分3分）：预算资金分配依据充分；资金分配额度与实际工作完成所需资金量相适应。</w:t>
      </w:r>
    </w:p>
    <w:p w14:paraId="4BD16916">
      <w:pPr>
        <w:spacing w:line="520" w:lineRule="exact"/>
        <w:ind w:firstLine="643" w:firstLineChars="200"/>
        <w:outlineLvl w:val="0"/>
        <w:rPr>
          <w:rFonts w:ascii="仿宋" w:hAnsi="仿宋" w:eastAsia="仿宋" w:cs="仿宋"/>
          <w:b/>
          <w:bCs/>
          <w:sz w:val="32"/>
          <w:szCs w:val="32"/>
        </w:rPr>
      </w:pPr>
      <w:r>
        <w:rPr>
          <w:rFonts w:hint="eastAsia" w:ascii="仿宋" w:hAnsi="仿宋" w:eastAsia="仿宋" w:cs="仿宋"/>
          <w:b/>
          <w:bCs/>
          <w:sz w:val="32"/>
          <w:szCs w:val="32"/>
        </w:rPr>
        <w:t>（二）过程情况分析</w:t>
      </w:r>
    </w:p>
    <w:p w14:paraId="6029BB62">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项目过程指标由2个二级指标和5个三级指标构成，该项满分为</w:t>
      </w:r>
      <w:r>
        <w:rPr>
          <w:rFonts w:hint="eastAsia" w:ascii="仿宋_GB2312" w:hAnsi="仿宋_GB2312" w:cs="仿宋_GB2312"/>
          <w:sz w:val="32"/>
          <w:szCs w:val="32"/>
          <w:lang w:val="en-US" w:eastAsia="zh-CN"/>
        </w:rPr>
        <w:t>2</w:t>
      </w:r>
      <w:r>
        <w:rPr>
          <w:rFonts w:hint="eastAsia" w:ascii="仿宋_GB2312" w:hAnsi="仿宋_GB2312" w:cs="仿宋_GB2312"/>
          <w:sz w:val="32"/>
          <w:szCs w:val="32"/>
        </w:rPr>
        <w:t>0分，得分</w:t>
      </w:r>
      <w:r>
        <w:rPr>
          <w:rFonts w:hint="eastAsia" w:ascii="仿宋_GB2312" w:hAnsi="仿宋_GB2312" w:cs="仿宋_GB2312"/>
          <w:sz w:val="32"/>
          <w:szCs w:val="32"/>
          <w:lang w:val="en-US" w:eastAsia="zh-CN"/>
        </w:rPr>
        <w:t>2</w:t>
      </w:r>
      <w:r>
        <w:rPr>
          <w:rFonts w:hint="eastAsia" w:ascii="仿宋_GB2312" w:hAnsi="仿宋_GB2312" w:cs="仿宋_GB2312"/>
          <w:sz w:val="32"/>
          <w:szCs w:val="32"/>
        </w:rPr>
        <w:t>0分，得分率100%。项目建立了比较健全的配套资金管理制度，且在项目实施过程中能够按照管理执行。</w:t>
      </w:r>
    </w:p>
    <w:p w14:paraId="334B2CE3">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1、资金管理分析（得分12分）</w:t>
      </w:r>
    </w:p>
    <w:p w14:paraId="54FD3FF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（1）资金到位率（得分4分）</w:t>
      </w:r>
    </w:p>
    <w:p w14:paraId="15BE97F3">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资金到位率用以反映和考核资金落实情况对项目实施的总体保障程度。资金到位率=（实际到位资金/预算资金）×100%。本项目实际到位资金1390.55万元，预算资金1390.55万元，资金到位率100%。</w:t>
      </w:r>
    </w:p>
    <w:p w14:paraId="73E75179">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（2）预算执行率（得分4分）</w:t>
      </w:r>
    </w:p>
    <w:p w14:paraId="51CE3144">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预算执行率</w:t>
      </w:r>
      <w:r>
        <w:rPr>
          <w:rFonts w:ascii="仿宋_GB2312" w:hAnsi="仿宋_GB2312" w:cs="仿宋_GB2312"/>
          <w:sz w:val="32"/>
          <w:szCs w:val="32"/>
        </w:rPr>
        <w:t>用以反映或考核项目预算执行情况。预算执行率=（实际支出资金/实际到位资金）×100%。</w:t>
      </w:r>
      <w:r>
        <w:rPr>
          <w:rFonts w:hint="eastAsia" w:ascii="仿宋_GB2312" w:hAnsi="仿宋_GB2312" w:cs="仿宋_GB2312"/>
          <w:sz w:val="32"/>
          <w:szCs w:val="32"/>
        </w:rPr>
        <w:t>本项目实际到位资金1390.55万元，</w:t>
      </w:r>
      <w:r>
        <w:rPr>
          <w:rFonts w:ascii="仿宋_GB2312" w:hAnsi="仿宋_GB2312" w:cs="仿宋_GB2312"/>
          <w:sz w:val="32"/>
          <w:szCs w:val="32"/>
        </w:rPr>
        <w:t>实际支出资金</w:t>
      </w:r>
      <w:r>
        <w:rPr>
          <w:rFonts w:hint="eastAsia" w:ascii="仿宋_GB2312" w:hAnsi="仿宋_GB2312" w:cs="仿宋_GB2312"/>
          <w:sz w:val="32"/>
          <w:szCs w:val="32"/>
        </w:rPr>
        <w:t>1390.55万元，预算执行率100%。本项目任务已全部完成。</w:t>
      </w:r>
    </w:p>
    <w:p w14:paraId="0B7C1035">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（3）资金使用合规性（得分4分）</w:t>
      </w:r>
    </w:p>
    <w:p w14:paraId="079213A5">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ascii="仿宋_GB2312" w:hAnsi="仿宋_GB2312" w:cs="仿宋_GB2312"/>
          <w:sz w:val="32"/>
          <w:szCs w:val="32"/>
        </w:rPr>
        <w:t>资金的拨付有完整的审批程序和手续；符合项目预算批复或合同规定的用途；</w:t>
      </w:r>
      <w:r>
        <w:rPr>
          <w:rFonts w:hint="eastAsia" w:ascii="仿宋_GB2312" w:hAnsi="仿宋_GB2312" w:cs="仿宋_GB2312"/>
          <w:sz w:val="32"/>
          <w:szCs w:val="32"/>
        </w:rPr>
        <w:t>不</w:t>
      </w:r>
      <w:r>
        <w:rPr>
          <w:rFonts w:ascii="仿宋_GB2312" w:hAnsi="仿宋_GB2312" w:cs="仿宋_GB2312"/>
          <w:sz w:val="32"/>
          <w:szCs w:val="32"/>
        </w:rPr>
        <w:t>存在截留、挤占、挪用、虚列支出等情况</w:t>
      </w:r>
      <w:r>
        <w:rPr>
          <w:rFonts w:hint="eastAsia" w:ascii="仿宋_GB2312" w:hAnsi="仿宋_GB2312" w:cs="仿宋_GB2312"/>
          <w:sz w:val="32"/>
          <w:szCs w:val="32"/>
        </w:rPr>
        <w:t>。</w:t>
      </w:r>
    </w:p>
    <w:p w14:paraId="08935654">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2、组织实施分析（得分8分）</w:t>
      </w:r>
    </w:p>
    <w:p w14:paraId="53269056">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（1）管理制度健全性（得分4分）</w:t>
      </w:r>
    </w:p>
    <w:p w14:paraId="6E9454AD">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692642AD">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（2）制度执行有效性（得分4分）</w:t>
      </w:r>
    </w:p>
    <w:p w14:paraId="79320F6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1E68658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项目立项依据、实施方案、财务信息等资料齐全并及时归档；项目实施的人员条件、场地设备、信息支撑等落实到位。</w:t>
      </w:r>
    </w:p>
    <w:p w14:paraId="12EE569F">
      <w:pPr>
        <w:spacing w:line="520" w:lineRule="exact"/>
        <w:ind w:firstLine="643" w:firstLineChars="200"/>
        <w:outlineLvl w:val="0"/>
        <w:rPr>
          <w:rFonts w:ascii="仿宋" w:hAnsi="仿宋" w:eastAsia="仿宋" w:cs="仿宋"/>
          <w:b/>
          <w:bCs/>
          <w:sz w:val="32"/>
          <w:szCs w:val="32"/>
        </w:rPr>
      </w:pPr>
      <w:r>
        <w:rPr>
          <w:rFonts w:hint="eastAsia" w:ascii="仿宋" w:hAnsi="仿宋" w:eastAsia="仿宋" w:cs="仿宋"/>
          <w:b/>
          <w:bCs/>
          <w:sz w:val="32"/>
          <w:szCs w:val="32"/>
        </w:rPr>
        <w:t>（三）产出情况分析</w:t>
      </w:r>
    </w:p>
    <w:p w14:paraId="5F4C429C">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项目产出包括产出数量、产出质量</w:t>
      </w:r>
      <w:r>
        <w:rPr>
          <w:rFonts w:hint="eastAsia" w:ascii="仿宋_GB2312" w:hAnsi="仿宋_GB2312" w:cs="仿宋_GB2312"/>
          <w:sz w:val="32"/>
          <w:szCs w:val="32"/>
          <w:lang w:val="en-US" w:eastAsia="zh-CN"/>
        </w:rPr>
        <w:t>2</w:t>
      </w:r>
      <w:r>
        <w:rPr>
          <w:rFonts w:hint="eastAsia" w:ascii="仿宋_GB2312" w:hAnsi="仿宋_GB2312" w:cs="仿宋_GB2312"/>
          <w:sz w:val="32"/>
          <w:szCs w:val="32"/>
        </w:rPr>
        <w:t>个二级指标。该项满分为</w:t>
      </w:r>
      <w:r>
        <w:rPr>
          <w:rFonts w:hint="eastAsia" w:ascii="仿宋_GB2312" w:hAnsi="仿宋_GB2312" w:cs="仿宋_GB2312"/>
          <w:sz w:val="32"/>
          <w:szCs w:val="32"/>
          <w:lang w:val="en-US" w:eastAsia="zh-CN"/>
        </w:rPr>
        <w:t>3</w:t>
      </w:r>
      <w:r>
        <w:rPr>
          <w:rFonts w:hint="eastAsia" w:ascii="仿宋_GB2312" w:hAnsi="仿宋_GB2312" w:cs="仿宋_GB2312"/>
          <w:sz w:val="32"/>
          <w:szCs w:val="32"/>
        </w:rPr>
        <w:t>0分，得分</w:t>
      </w:r>
      <w:r>
        <w:rPr>
          <w:rFonts w:hint="eastAsia" w:ascii="仿宋_GB2312" w:hAnsi="仿宋_GB2312" w:cs="仿宋_GB2312"/>
          <w:sz w:val="32"/>
          <w:szCs w:val="32"/>
          <w:lang w:val="en-US" w:eastAsia="zh-CN"/>
        </w:rPr>
        <w:t>3</w:t>
      </w:r>
      <w:r>
        <w:rPr>
          <w:rFonts w:hint="eastAsia" w:ascii="仿宋_GB2312" w:hAnsi="仿宋_GB2312" w:cs="仿宋_GB2312"/>
          <w:sz w:val="32"/>
          <w:szCs w:val="32"/>
        </w:rPr>
        <w:t>0分，得分率100%。</w:t>
      </w:r>
    </w:p>
    <w:p w14:paraId="111F7803">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1、产出数量分析（得分1</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2786AA6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数量指标：指标1：购买运动员教练员训练装备、设备数量，指标值：＞=340套，实际完成值422套，指标完成率100%。</w:t>
      </w:r>
    </w:p>
    <w:p w14:paraId="340B906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指标2：后备人才培养数量，指标值：＞=120人，实际完成值1</w:t>
      </w:r>
      <w:r>
        <w:rPr>
          <w:rFonts w:hint="eastAsia" w:ascii="仿宋_GB2312" w:hAnsi="仿宋_GB2312" w:cs="仿宋_GB2312"/>
          <w:sz w:val="32"/>
          <w:szCs w:val="32"/>
          <w:lang w:val="en-US" w:eastAsia="zh-CN"/>
        </w:rPr>
        <w:t>3</w:t>
      </w:r>
      <w:r>
        <w:rPr>
          <w:rFonts w:hint="eastAsia" w:ascii="仿宋_GB2312" w:hAnsi="仿宋_GB2312" w:cs="仿宋_GB2312"/>
          <w:sz w:val="32"/>
          <w:szCs w:val="32"/>
        </w:rPr>
        <w:t>0人，指标完成率100%。</w:t>
      </w:r>
    </w:p>
    <w:p w14:paraId="0DB08461">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指标3：参加国内大型运动会比赛人次，指标值：＞=411人次，实际完成值484人次，指标完成率100%。</w:t>
      </w:r>
    </w:p>
    <w:p w14:paraId="26DA7D0F">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指标4：外聘人员数量，指标值：＞=12人，实际完成值14人，指标完成率100%。</w:t>
      </w:r>
    </w:p>
    <w:p w14:paraId="66AF2752">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2、产出质量分析（得分1</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54F22D1C">
      <w:pPr>
        <w:spacing w:line="520" w:lineRule="exact"/>
        <w:ind w:firstLine="640" w:firstLineChars="200"/>
        <w:jc w:val="left"/>
        <w:rPr>
          <w:rFonts w:hint="eastAsia" w:ascii="仿宋_GB2312" w:hAnsi="仿宋_GB2312" w:cs="仿宋_GB2312"/>
          <w:sz w:val="32"/>
          <w:szCs w:val="32"/>
        </w:rPr>
      </w:pPr>
      <w:r>
        <w:rPr>
          <w:rFonts w:hint="eastAsia" w:ascii="仿宋_GB2312" w:hAnsi="仿宋_GB2312" w:cs="仿宋_GB2312"/>
          <w:sz w:val="32"/>
          <w:szCs w:val="32"/>
        </w:rPr>
        <w:t>质量指标：指标1：运动员参赛率，指标值：＞=95%，实际完成值95%，指标完成率100%。</w:t>
      </w:r>
    </w:p>
    <w:p w14:paraId="7A1BF7C5">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指标2：购买训练装备、设备验收合格率，指标值：＞=90人，实际完成值90%，指标完成率100%。</w:t>
      </w:r>
    </w:p>
    <w:p w14:paraId="29FF7573">
      <w:pPr>
        <w:pStyle w:val="2"/>
      </w:pPr>
    </w:p>
    <w:p w14:paraId="00E4EFE4">
      <w:pPr>
        <w:spacing w:line="520" w:lineRule="exact"/>
        <w:ind w:firstLine="643" w:firstLineChars="200"/>
        <w:outlineLvl w:val="0"/>
        <w:rPr>
          <w:rFonts w:ascii="仿宋" w:hAnsi="仿宋" w:eastAsia="仿宋" w:cs="仿宋"/>
          <w:b/>
          <w:bCs/>
          <w:sz w:val="32"/>
          <w:szCs w:val="32"/>
          <w:lang w:val="zh-TW" w:eastAsia="zh-TW"/>
        </w:rPr>
      </w:pPr>
      <w:r>
        <w:rPr>
          <w:rFonts w:hint="eastAsia" w:ascii="仿宋" w:hAnsi="仿宋" w:eastAsia="仿宋" w:cs="仿宋"/>
          <w:b/>
          <w:bCs/>
          <w:sz w:val="32"/>
          <w:szCs w:val="32"/>
          <w:lang w:val="zh-TW" w:eastAsia="zh-TW"/>
        </w:rPr>
        <w:t>（</w:t>
      </w:r>
      <w:r>
        <w:rPr>
          <w:rFonts w:hint="eastAsia" w:ascii="仿宋" w:hAnsi="仿宋" w:eastAsia="仿宋" w:cs="仿宋"/>
          <w:b/>
          <w:bCs/>
          <w:sz w:val="32"/>
          <w:szCs w:val="32"/>
        </w:rPr>
        <w:t>四</w:t>
      </w:r>
      <w:r>
        <w:rPr>
          <w:rFonts w:hint="eastAsia" w:ascii="仿宋" w:hAnsi="仿宋" w:eastAsia="仿宋" w:cs="仿宋"/>
          <w:b/>
          <w:bCs/>
          <w:sz w:val="32"/>
          <w:szCs w:val="32"/>
          <w:lang w:val="zh-TW" w:eastAsia="zh-TW"/>
        </w:rPr>
        <w:t>）</w:t>
      </w:r>
      <w:r>
        <w:rPr>
          <w:rFonts w:hint="eastAsia" w:ascii="仿宋" w:hAnsi="仿宋" w:eastAsia="仿宋" w:cs="仿宋"/>
          <w:b/>
          <w:bCs/>
          <w:sz w:val="32"/>
          <w:szCs w:val="32"/>
        </w:rPr>
        <w:t>成本</w:t>
      </w:r>
      <w:r>
        <w:rPr>
          <w:rFonts w:hint="eastAsia" w:ascii="仿宋" w:hAnsi="仿宋" w:eastAsia="仿宋" w:cs="仿宋"/>
          <w:b/>
          <w:bCs/>
          <w:sz w:val="32"/>
          <w:szCs w:val="32"/>
          <w:lang w:val="zh-TW" w:eastAsia="zh-TW"/>
        </w:rPr>
        <w:t>情况分析</w:t>
      </w:r>
    </w:p>
    <w:p w14:paraId="64DDA1CF">
      <w:pPr>
        <w:spacing w:line="520" w:lineRule="exact"/>
        <w:ind w:firstLine="640" w:firstLineChars="200"/>
        <w:jc w:val="left"/>
        <w:rPr>
          <w:rFonts w:ascii="仿宋_GB2312" w:hAnsi="仿宋_GB2312" w:cs="仿宋_GB2312"/>
          <w:sz w:val="32"/>
          <w:szCs w:val="32"/>
          <w:lang w:val="zh-TW" w:eastAsia="zh-TW"/>
        </w:rPr>
      </w:pPr>
      <w:r>
        <w:rPr>
          <w:rFonts w:hint="eastAsia" w:ascii="仿宋_GB2312" w:hAnsi="仿宋_GB2312" w:cs="仿宋_GB2312"/>
          <w:sz w:val="32"/>
          <w:szCs w:val="32"/>
          <w:lang w:val="zh-TW" w:eastAsia="zh-TW"/>
        </w:rPr>
        <w:t>项目</w:t>
      </w:r>
      <w:r>
        <w:rPr>
          <w:rFonts w:hint="eastAsia" w:ascii="仿宋_GB2312" w:hAnsi="仿宋_GB2312" w:cs="仿宋_GB2312"/>
          <w:sz w:val="32"/>
          <w:szCs w:val="32"/>
        </w:rPr>
        <w:t>成本共1个二级指标</w:t>
      </w:r>
      <w:r>
        <w:rPr>
          <w:rFonts w:hint="eastAsia" w:ascii="仿宋_GB2312" w:hAnsi="仿宋_GB2312" w:cs="仿宋_GB2312"/>
          <w:sz w:val="32"/>
          <w:szCs w:val="32"/>
          <w:lang w:val="zh-TW" w:eastAsia="zh-TW"/>
        </w:rPr>
        <w:t>。该项满分为</w:t>
      </w:r>
      <w:r>
        <w:rPr>
          <w:rFonts w:hint="eastAsia" w:ascii="仿宋_GB2312" w:hAnsi="仿宋_GB2312" w:cs="仿宋_GB2312"/>
          <w:sz w:val="32"/>
          <w:szCs w:val="32"/>
          <w:lang w:val="en-US" w:eastAsia="zh-CN"/>
        </w:rPr>
        <w:t>0</w:t>
      </w:r>
      <w:r>
        <w:rPr>
          <w:rFonts w:hint="eastAsia" w:ascii="仿宋_GB2312" w:hAnsi="仿宋_GB2312" w:cs="仿宋_GB2312"/>
          <w:sz w:val="32"/>
          <w:szCs w:val="32"/>
          <w:lang w:val="zh-TW" w:eastAsia="zh-TW"/>
        </w:rPr>
        <w:t>分，得分</w:t>
      </w:r>
      <w:r>
        <w:rPr>
          <w:rFonts w:hint="eastAsia" w:ascii="仿宋_GB2312" w:hAnsi="仿宋_GB2312" w:cs="仿宋_GB2312"/>
          <w:sz w:val="32"/>
          <w:szCs w:val="32"/>
          <w:lang w:val="en-US" w:eastAsia="zh-CN"/>
        </w:rPr>
        <w:t>0</w:t>
      </w:r>
      <w:r>
        <w:rPr>
          <w:rFonts w:hint="eastAsia" w:ascii="仿宋_GB2312" w:hAnsi="仿宋_GB2312" w:cs="仿宋_GB2312"/>
          <w:sz w:val="32"/>
          <w:szCs w:val="32"/>
          <w:lang w:val="zh-TW" w:eastAsia="zh-TW"/>
        </w:rPr>
        <w:t>分，得分率</w:t>
      </w:r>
      <w:r>
        <w:rPr>
          <w:rFonts w:hint="eastAsia" w:ascii="仿宋_GB2312" w:hAnsi="仿宋_GB2312" w:cs="仿宋_GB2312"/>
          <w:sz w:val="32"/>
          <w:szCs w:val="32"/>
          <w:lang w:val="en-US" w:eastAsia="zh-CN"/>
        </w:rPr>
        <w:t>0</w:t>
      </w:r>
      <w:r>
        <w:rPr>
          <w:rFonts w:hint="eastAsia" w:ascii="仿宋_GB2312" w:hAnsi="仿宋_GB2312" w:cs="仿宋_GB2312"/>
          <w:sz w:val="32"/>
          <w:szCs w:val="32"/>
          <w:lang w:val="zh-TW" w:eastAsia="zh-TW"/>
        </w:rPr>
        <w:t>%。</w:t>
      </w:r>
    </w:p>
    <w:p w14:paraId="6639339A">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1、成本指标分析（得分0分）</w:t>
      </w:r>
    </w:p>
    <w:p w14:paraId="6173E82C">
      <w:pPr>
        <w:spacing w:line="520" w:lineRule="exact"/>
        <w:ind w:firstLine="640" w:firstLineChars="200"/>
        <w:jc w:val="left"/>
      </w:pPr>
      <w:r>
        <w:rPr>
          <w:rFonts w:hint="eastAsia" w:ascii="仿宋" w:hAnsi="仿宋" w:eastAsia="仿宋" w:cs="仿宋"/>
          <w:sz w:val="32"/>
          <w:szCs w:val="32"/>
        </w:rPr>
        <w:t>经济成本指标：</w:t>
      </w:r>
      <w:r>
        <w:t xml:space="preserve"> </w:t>
      </w:r>
    </w:p>
    <w:p w14:paraId="63BA5A6A">
      <w:pPr>
        <w:spacing w:line="520" w:lineRule="exact"/>
        <w:ind w:firstLine="643" w:firstLineChars="200"/>
        <w:outlineLvl w:val="0"/>
        <w:rPr>
          <w:rFonts w:ascii="仿宋" w:hAnsi="仿宋" w:eastAsia="仿宋" w:cs="仿宋"/>
          <w:b/>
          <w:bCs/>
          <w:sz w:val="32"/>
          <w:szCs w:val="32"/>
          <w:lang w:val="zh-TW"/>
        </w:rPr>
      </w:pPr>
      <w:r>
        <w:rPr>
          <w:rFonts w:hint="eastAsia" w:ascii="仿宋" w:hAnsi="仿宋" w:eastAsia="仿宋" w:cs="仿宋"/>
          <w:b/>
          <w:bCs/>
          <w:sz w:val="32"/>
          <w:szCs w:val="32"/>
          <w:lang w:val="zh-TW"/>
        </w:rPr>
        <w:t>（</w:t>
      </w:r>
      <w:r>
        <w:rPr>
          <w:rFonts w:hint="eastAsia" w:ascii="仿宋" w:hAnsi="仿宋" w:eastAsia="仿宋" w:cs="仿宋"/>
          <w:b/>
          <w:bCs/>
          <w:sz w:val="32"/>
          <w:szCs w:val="32"/>
        </w:rPr>
        <w:t>五）</w:t>
      </w:r>
      <w:r>
        <w:rPr>
          <w:rFonts w:hint="eastAsia" w:ascii="仿宋" w:hAnsi="仿宋" w:eastAsia="仿宋" w:cs="仿宋"/>
          <w:b/>
          <w:bCs/>
          <w:sz w:val="32"/>
          <w:szCs w:val="32"/>
          <w:lang w:val="zh-TW"/>
        </w:rPr>
        <w:t>项目效益情况</w:t>
      </w:r>
    </w:p>
    <w:p w14:paraId="43412C06">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项目效益包括</w:t>
      </w:r>
      <w:r>
        <w:rPr>
          <w:rFonts w:hint="eastAsia" w:ascii="仿宋_GB2312" w:hAnsi="仿宋_GB2312" w:cs="仿宋_GB2312"/>
          <w:sz w:val="32"/>
          <w:szCs w:val="32"/>
          <w:lang w:val="en-US" w:eastAsia="zh-CN"/>
        </w:rPr>
        <w:t>社会效益和</w:t>
      </w:r>
      <w:r>
        <w:rPr>
          <w:rFonts w:hint="eastAsia" w:ascii="仿宋_GB2312" w:hAnsi="仿宋_GB2312" w:cs="仿宋_GB2312"/>
          <w:sz w:val="32"/>
          <w:szCs w:val="32"/>
        </w:rPr>
        <w:t>满意度</w:t>
      </w:r>
      <w:r>
        <w:rPr>
          <w:rFonts w:hint="eastAsia" w:ascii="仿宋_GB2312" w:hAnsi="仿宋_GB2312" w:cs="仿宋_GB2312"/>
          <w:sz w:val="32"/>
          <w:szCs w:val="32"/>
          <w:lang w:val="en-US" w:eastAsia="zh-CN"/>
        </w:rPr>
        <w:t>2</w:t>
      </w:r>
      <w:r>
        <w:rPr>
          <w:rFonts w:hint="eastAsia" w:ascii="仿宋_GB2312" w:hAnsi="仿宋_GB2312" w:cs="仿宋_GB2312"/>
          <w:sz w:val="32"/>
          <w:szCs w:val="32"/>
        </w:rPr>
        <w:t>个三级指标。该项满分为30 分，得分30分，得分率100%。　</w:t>
      </w:r>
      <w:r>
        <w:rPr>
          <w:rFonts w:hint="eastAsia" w:ascii="仿宋_GB2312" w:hAnsi="仿宋_GB2312" w:cs="仿宋_GB2312"/>
          <w:sz w:val="32"/>
          <w:szCs w:val="32"/>
        </w:rPr>
        <w:tab/>
      </w:r>
    </w:p>
    <w:p w14:paraId="66ED99C1">
      <w:pPr>
        <w:numPr>
          <w:ilvl w:val="0"/>
          <w:numId w:val="2"/>
        </w:num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实施效益（得分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w:t>
      </w:r>
    </w:p>
    <w:p w14:paraId="5F08249C">
      <w:pPr>
        <w:spacing w:line="520" w:lineRule="exact"/>
        <w:ind w:firstLine="640" w:firstLineChars="200"/>
        <w:jc w:val="left"/>
      </w:pPr>
      <w:r>
        <w:rPr>
          <w:rFonts w:hint="eastAsia" w:ascii="仿宋_GB2312" w:hAnsi="仿宋_GB2312" w:cs="仿宋_GB2312"/>
          <w:sz w:val="32"/>
          <w:szCs w:val="32"/>
        </w:rPr>
        <w:t>经济效益指标：无此项指标。</w:t>
      </w:r>
    </w:p>
    <w:p w14:paraId="57A36F1E">
      <w:pPr>
        <w:spacing w:line="560" w:lineRule="exact"/>
        <w:ind w:firstLine="640" w:firstLineChars="200"/>
        <w:outlineLvl w:val="0"/>
        <w:rPr>
          <w:rFonts w:hint="eastAsia" w:ascii="仿宋" w:hAnsi="仿宋" w:eastAsia="仿宋" w:cs="仿宋"/>
          <w:sz w:val="32"/>
          <w:szCs w:val="32"/>
        </w:rPr>
      </w:pPr>
      <w:r>
        <w:rPr>
          <w:rFonts w:hint="eastAsia" w:ascii="仿宋_GB2312" w:hAnsi="仿宋_GB2312" w:cs="仿宋_GB2312"/>
          <w:sz w:val="32"/>
          <w:szCs w:val="32"/>
        </w:rPr>
        <w:t>社会效益指标：</w:t>
      </w:r>
      <w:r>
        <w:rPr>
          <w:rFonts w:hint="eastAsia" w:ascii="仿宋" w:hAnsi="仿宋" w:eastAsia="仿宋" w:cs="仿宋"/>
          <w:sz w:val="32"/>
          <w:szCs w:val="32"/>
        </w:rPr>
        <w:t>项目实施有效</w:t>
      </w:r>
      <w:r>
        <w:rPr>
          <w:rStyle w:val="10"/>
          <w:rFonts w:hint="eastAsia" w:ascii="仿宋" w:hAnsi="仿宋" w:eastAsia="仿宋" w:cs="仿宋"/>
          <w:b w:val="0"/>
          <w:bCs w:val="0"/>
          <w:spacing w:val="-4"/>
          <w:sz w:val="32"/>
          <w:szCs w:val="32"/>
        </w:rPr>
        <w:t>促进体育事业发展，足球项目在各大赛事中取得优异成绩，</w:t>
      </w:r>
      <w:r>
        <w:rPr>
          <w:rFonts w:hint="eastAsia" w:ascii="仿宋" w:hAnsi="仿宋" w:eastAsia="仿宋" w:cs="仿宋"/>
          <w:sz w:val="32"/>
          <w:szCs w:val="32"/>
        </w:rPr>
        <w:t>指标完成率100％。</w:t>
      </w:r>
    </w:p>
    <w:p w14:paraId="17EBB442">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无此项指标。</w:t>
      </w:r>
    </w:p>
    <w:p w14:paraId="5901DC39">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生态效益指标：无此项指标。</w:t>
      </w:r>
    </w:p>
    <w:p w14:paraId="45E5EE03">
      <w:pPr>
        <w:pStyle w:val="5"/>
        <w:spacing w:line="520" w:lineRule="exact"/>
        <w:ind w:left="0" w:leftChars="0" w:firstLine="640" w:firstLineChars="200"/>
        <w:jc w:val="left"/>
        <w:rPr>
          <w:rFonts w:ascii="仿宋_GB2312" w:hAnsi="仿宋_GB2312" w:cs="仿宋_GB2312"/>
          <w:sz w:val="32"/>
          <w:szCs w:val="32"/>
        </w:rPr>
      </w:pPr>
      <w:r>
        <w:rPr>
          <w:rFonts w:hint="eastAsia" w:ascii="仿宋_GB2312" w:hAnsi="仿宋_GB2312" w:cs="仿宋_GB2312"/>
          <w:sz w:val="32"/>
          <w:szCs w:val="32"/>
        </w:rPr>
        <w:t>可持续影响指标：无此项指标。</w:t>
      </w:r>
    </w:p>
    <w:p w14:paraId="2F868B6D">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2、满意度（得分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w:t>
      </w:r>
    </w:p>
    <w:p w14:paraId="0FB5DA27">
      <w:pPr>
        <w:spacing w:line="520" w:lineRule="exact"/>
        <w:ind w:firstLine="640" w:firstLineChars="200"/>
        <w:jc w:val="left"/>
        <w:rPr>
          <w:rFonts w:ascii="仿宋_GB2312" w:hAnsi="仿宋_GB2312" w:cs="仿宋_GB2312"/>
          <w:sz w:val="32"/>
          <w:szCs w:val="32"/>
        </w:rPr>
      </w:pPr>
      <w:r>
        <w:rPr>
          <w:rFonts w:hint="eastAsia" w:ascii="仿宋_GB2312" w:hAnsi="仿宋_GB2312" w:cs="仿宋_GB2312"/>
          <w:sz w:val="32"/>
          <w:szCs w:val="32"/>
        </w:rPr>
        <w:t>满意度指标：指标：受益运动员满意度，指标值：＞=90%，实际完成值90%，指标完成率100%。</w:t>
      </w:r>
    </w:p>
    <w:p w14:paraId="4966670F">
      <w:pPr>
        <w:spacing w:line="520" w:lineRule="exact"/>
        <w:ind w:firstLine="600" w:firstLineChars="200"/>
        <w:rPr>
          <w:rFonts w:ascii="黑体" w:hAnsi="黑体" w:eastAsia="黑体"/>
        </w:rPr>
      </w:pPr>
      <w:r>
        <w:rPr>
          <w:rFonts w:hint="eastAsia" w:ascii="黑体" w:hAnsi="黑体" w:eastAsia="黑体"/>
        </w:rPr>
        <w:t>五、主要经验及做法、存在的问题及原因分析</w:t>
      </w:r>
    </w:p>
    <w:p w14:paraId="4922B894">
      <w:pPr>
        <w:spacing w:line="520" w:lineRule="exact"/>
        <w:ind w:firstLine="640" w:firstLineChars="200"/>
        <w:jc w:val="left"/>
        <w:outlineLvl w:val="0"/>
        <w:rPr>
          <w:rFonts w:ascii="楷体" w:hAnsi="楷体" w:eastAsia="楷体" w:cs="楷体"/>
          <w:sz w:val="32"/>
          <w:szCs w:val="32"/>
        </w:rPr>
      </w:pPr>
      <w:r>
        <w:rPr>
          <w:rFonts w:hint="eastAsia" w:ascii="楷体" w:hAnsi="楷体" w:eastAsia="楷体" w:cs="楷体"/>
          <w:sz w:val="32"/>
          <w:szCs w:val="32"/>
        </w:rPr>
        <w:t>1、主要经验及做法</w:t>
      </w:r>
    </w:p>
    <w:p w14:paraId="731795F6">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一是狠抓项目管理工作。坚持项目跟随规划走、资金跟随项目走的原则，不得随意调整项目。</w:t>
      </w:r>
    </w:p>
    <w:p w14:paraId="1FE122B5">
      <w:pPr>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p>
    <w:p w14:paraId="3531493D">
      <w:pPr>
        <w:spacing w:line="520" w:lineRule="exact"/>
        <w:ind w:firstLine="640" w:firstLineChars="200"/>
        <w:jc w:val="left"/>
        <w:rPr>
          <w:rFonts w:ascii="仿宋_GB2312" w:hAnsi="仿宋_GB2312" w:cs="仿宋_GB2312"/>
          <w:sz w:val="32"/>
          <w:szCs w:val="32"/>
        </w:rPr>
      </w:pPr>
      <w:r>
        <w:rPr>
          <w:rFonts w:hint="eastAsia" w:ascii="仿宋" w:hAnsi="仿宋" w:eastAsia="仿宋" w:cs="仿宋"/>
          <w:sz w:val="32"/>
          <w:szCs w:val="32"/>
        </w:rPr>
        <w:t>三是健全项目管理制度。中心已有保证项目实施的制度、措施等，如《中华人民共和国统计法》《关于进一步做好自治区本级项目支出绩效监控工作的通知》（新财预〔2019〕70号）、《自治区足球运动训练中心项目支出预算管理办法》《自治区足球运动训练中心财务管理办法》、《足球运动训练中心内控制度》。</w:t>
      </w:r>
    </w:p>
    <w:p w14:paraId="0466CBEF">
      <w:pPr>
        <w:spacing w:line="520" w:lineRule="exact"/>
        <w:ind w:firstLine="640" w:firstLineChars="200"/>
        <w:jc w:val="left"/>
        <w:outlineLvl w:val="0"/>
        <w:rPr>
          <w:rFonts w:ascii="楷体" w:hAnsi="楷体" w:eastAsia="楷体" w:cs="楷体"/>
          <w:sz w:val="32"/>
          <w:szCs w:val="32"/>
        </w:rPr>
      </w:pPr>
      <w:r>
        <w:rPr>
          <w:rFonts w:hint="eastAsia" w:ascii="楷体" w:hAnsi="楷体" w:eastAsia="楷体" w:cs="楷体"/>
          <w:sz w:val="32"/>
          <w:szCs w:val="32"/>
        </w:rPr>
        <w:t>2、存在的问题</w:t>
      </w:r>
    </w:p>
    <w:p w14:paraId="11EBCE94">
      <w:pPr>
        <w:keepNext/>
        <w:keepLines/>
        <w:spacing w:line="560" w:lineRule="exact"/>
        <w:ind w:firstLine="800" w:firstLineChars="250"/>
        <w:rPr>
          <w:rFonts w:ascii="仿宋" w:hAnsi="仿宋" w:eastAsia="仿宋"/>
          <w:sz w:val="32"/>
          <w:szCs w:val="32"/>
        </w:rPr>
      </w:pPr>
      <w:r>
        <w:rPr>
          <w:rFonts w:hint="eastAsia" w:ascii="仿宋" w:hAnsi="仿宋" w:eastAsia="仿宋" w:cs="宋体"/>
          <w:sz w:val="32"/>
          <w:szCs w:val="32"/>
        </w:rPr>
        <w:t>主要</w:t>
      </w:r>
      <w:r>
        <w:rPr>
          <w:rFonts w:hint="eastAsia" w:ascii="仿宋" w:hAnsi="仿宋" w:eastAsia="仿宋" w:cs="___WRD_EMBED_SUB_41"/>
          <w:sz w:val="32"/>
          <w:szCs w:val="32"/>
        </w:rPr>
        <w:t>体</w:t>
      </w:r>
      <w:r>
        <w:rPr>
          <w:rFonts w:hint="eastAsia" w:ascii="仿宋" w:hAnsi="仿宋" w:eastAsia="仿宋" w:cs="宋体"/>
          <w:sz w:val="32"/>
          <w:szCs w:val="32"/>
        </w:rPr>
        <w:t>现为项目执行进度还需进一步夯实，资金支付审批需要进一步提高；监督作用发挥不够充分。面对这些问题我们将认真分析，切实加以解决，进一步完善财务制度，规范财</w:t>
      </w:r>
      <w:r>
        <w:rPr>
          <w:rFonts w:hint="eastAsia" w:ascii="仿宋" w:hAnsi="仿宋" w:eastAsia="仿宋" w:cs="___WRD_EMBED_SUB_41"/>
          <w:sz w:val="32"/>
          <w:szCs w:val="32"/>
        </w:rPr>
        <w:t>经</w:t>
      </w:r>
      <w:r>
        <w:rPr>
          <w:rFonts w:hint="eastAsia" w:ascii="仿宋" w:hAnsi="仿宋" w:eastAsia="仿宋" w:cs="宋体"/>
          <w:sz w:val="32"/>
          <w:szCs w:val="32"/>
        </w:rPr>
        <w:t>纪律，严格控制非生产性开支，进一步提高项目支出水平。</w:t>
      </w:r>
    </w:p>
    <w:p w14:paraId="74DAEB1E">
      <w:pPr>
        <w:spacing w:line="52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六、有关建议</w:t>
      </w:r>
    </w:p>
    <w:p w14:paraId="654B77E7">
      <w:pPr>
        <w:spacing w:line="560" w:lineRule="exact"/>
        <w:ind w:firstLine="624" w:firstLineChars="200"/>
        <w:rPr>
          <w:rStyle w:val="10"/>
          <w:rFonts w:hint="eastAsia" w:ascii="仿宋" w:hAnsi="仿宋" w:eastAsia="仿宋" w:cs="仿宋"/>
          <w:b w:val="0"/>
          <w:bCs w:val="0"/>
          <w:spacing w:val="-4"/>
          <w:sz w:val="32"/>
          <w:szCs w:val="32"/>
        </w:rPr>
      </w:pPr>
      <w:r>
        <w:rPr>
          <w:rStyle w:val="10"/>
          <w:rFonts w:hint="eastAsia" w:ascii="仿宋" w:hAnsi="仿宋" w:eastAsia="仿宋" w:cs="仿宋"/>
          <w:b w:val="0"/>
          <w:bCs w:val="0"/>
          <w:spacing w:val="-4"/>
          <w:sz w:val="32"/>
          <w:szCs w:val="32"/>
        </w:rPr>
        <w:t>一是预防中心运动员突发疾病、伤病和运动损伤。中心足球项目为对抗性项目，在平常的训练及比赛中很容易受伤，因此，应着力于全力做好运动队后勤保障工作，提高运动队科学训练意识，加强运动防护工作，减少伤病发生，加强生活管理，保障伙食卫生安全。</w:t>
      </w:r>
    </w:p>
    <w:p w14:paraId="789DCAF9">
      <w:pPr>
        <w:spacing w:line="560" w:lineRule="exact"/>
        <w:ind w:firstLine="640" w:firstLineChars="200"/>
        <w:rPr>
          <w:rFonts w:hint="eastAsia" w:ascii="仿宋" w:hAnsi="仿宋" w:eastAsia="仿宋" w:cs="仿宋"/>
          <w:spacing w:val="-4"/>
          <w:sz w:val="32"/>
          <w:szCs w:val="32"/>
        </w:rPr>
      </w:pPr>
      <w:r>
        <w:rPr>
          <w:rFonts w:hint="eastAsia" w:ascii="仿宋" w:hAnsi="仿宋" w:eastAsia="仿宋" w:cs="仿宋"/>
          <w:sz w:val="32"/>
          <w:szCs w:val="32"/>
        </w:rPr>
        <w:t>二是</w:t>
      </w:r>
      <w:r>
        <w:rPr>
          <w:rStyle w:val="10"/>
          <w:rFonts w:hint="eastAsia" w:ascii="仿宋" w:hAnsi="仿宋" w:eastAsia="仿宋" w:cs="仿宋"/>
          <w:b w:val="0"/>
          <w:bCs w:val="0"/>
          <w:spacing w:val="-4"/>
          <w:sz w:val="32"/>
          <w:szCs w:val="32"/>
        </w:rPr>
        <w:t>扩大足球项目的队伍建设，夯实基础，保证优秀运动队整体建设和发展需要，确保运动员训练、比赛整体计划得以高效实施。加强队伍管理和人才培养，提升教练员、运动员及管理人员专业能力，为项目高质量实施提供保障。</w:t>
      </w:r>
    </w:p>
    <w:p w14:paraId="6B3D5C6B">
      <w:pPr>
        <w:autoSpaceDE w:val="0"/>
        <w:spacing w:line="560" w:lineRule="exact"/>
        <w:ind w:firstLine="640" w:firstLineChars="200"/>
        <w:rPr>
          <w:rFonts w:ascii="仿宋" w:hAnsi="仿宋" w:eastAsia="仿宋"/>
          <w:sz w:val="32"/>
          <w:szCs w:val="32"/>
        </w:rPr>
      </w:pPr>
      <w:r>
        <w:rPr>
          <w:rFonts w:hint="eastAsia" w:ascii="仿宋" w:hAnsi="仿宋" w:eastAsia="仿宋" w:cs="仿宋"/>
          <w:sz w:val="32"/>
          <w:szCs w:val="32"/>
        </w:rPr>
        <w:t>三是严格执行财务管理制度，规范资金审批、支付流程，确保专款专用，杜绝挤占、挪用赛事备战专项资金。</w:t>
      </w:r>
      <w:r>
        <w:rPr>
          <w:rFonts w:hint="eastAsia" w:ascii="仿宋" w:hAnsi="仿宋" w:eastAsia="仿宋" w:cs="宋体"/>
          <w:sz w:val="32"/>
          <w:szCs w:val="32"/>
        </w:rPr>
        <w:t>加强项目资金全过程监督，提供资金使用透明度和规范性。强化承办控制意识，重点保障训练、竞赛、体能康复等核心，提升资金使用效率。项目严格按照相关规定要求，对批准的预算内客做好账务设置和财务管理。在资金使用过程中，严把监督审核关，建立健全内部审批制度。同时，定期不定期对资金使用、管理情况进行自查和检查，确保会计资料信息真实、及时、完整。</w:t>
      </w:r>
    </w:p>
    <w:p w14:paraId="2D97A8C6">
      <w:pPr>
        <w:spacing w:line="560" w:lineRule="exact"/>
        <w:ind w:firstLine="800" w:firstLineChars="250"/>
        <w:rPr>
          <w:rFonts w:hint="eastAsia" w:ascii="仿宋" w:hAnsi="仿宋" w:eastAsia="仿宋"/>
          <w:sz w:val="32"/>
          <w:szCs w:val="32"/>
        </w:rPr>
      </w:pPr>
      <w:r>
        <w:rPr>
          <w:rFonts w:hint="eastAsia" w:ascii="仿宋" w:hAnsi="仿宋" w:eastAsia="仿宋" w:cs="仿宋"/>
          <w:sz w:val="32"/>
          <w:szCs w:val="32"/>
        </w:rPr>
        <w:t>四是</w:t>
      </w:r>
      <w:r>
        <w:rPr>
          <w:rFonts w:hint="eastAsia" w:ascii="仿宋" w:hAnsi="仿宋" w:eastAsia="仿宋" w:cs="宋体"/>
          <w:sz w:val="32"/>
          <w:szCs w:val="32"/>
        </w:rPr>
        <w:t>资金的拨付有完整的审批程序和手续，确保各项制度落实见效，资金使用安全规范，在资金使用过程中，厉行节约、避免浪</w:t>
      </w:r>
      <w:r>
        <w:rPr>
          <w:rFonts w:hint="eastAsia" w:ascii="仿宋" w:hAnsi="仿宋" w:eastAsia="仿宋" w:cs="___WRD_EMBED_SUB_41"/>
          <w:sz w:val="32"/>
          <w:szCs w:val="32"/>
        </w:rPr>
        <w:t>费</w:t>
      </w:r>
      <w:r>
        <w:rPr>
          <w:rFonts w:hint="eastAsia" w:ascii="仿宋" w:hAnsi="仿宋" w:eastAsia="仿宋" w:cs="宋体"/>
          <w:sz w:val="32"/>
          <w:szCs w:val="32"/>
        </w:rPr>
        <w:t>，使项目资金能最大限度地发挥作用。</w:t>
      </w:r>
    </w:p>
    <w:p w14:paraId="687EB7EC">
      <w:pPr>
        <w:spacing w:line="52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七、其他需要说明的问题</w:t>
      </w:r>
    </w:p>
    <w:p w14:paraId="63D6C601">
      <w:pPr>
        <w:spacing w:line="520" w:lineRule="exact"/>
        <w:ind w:firstLine="640" w:firstLineChars="200"/>
        <w:jc w:val="left"/>
      </w:pPr>
      <w:r>
        <w:rPr>
          <w:rFonts w:hint="eastAsia" w:ascii="仿宋_GB2312" w:hAnsi="仿宋_GB2312" w:cs="仿宋_GB2312"/>
          <w:sz w:val="32"/>
          <w:szCs w:val="32"/>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sectPr>
      <w:pgSz w:w="11906" w:h="16838"/>
      <w:pgMar w:top="1984" w:right="1531" w:bottom="1701" w:left="1531" w:header="737" w:footer="850" w:gutter="0"/>
      <w:cols w:space="0" w:num="1"/>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7F8021-A2BA-432C-8469-C2EAC2D225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7216879-A81C-4EAE-BF9F-925FB97829B8}"/>
  </w:font>
  <w:font w:name="楷体">
    <w:panose1 w:val="02010609060101010101"/>
    <w:charset w:val="86"/>
    <w:family w:val="modern"/>
    <w:pitch w:val="default"/>
    <w:sig w:usb0="800002BF" w:usb1="38CF7CFA" w:usb2="00000016" w:usb3="00000000" w:csb0="00040001" w:csb1="00000000"/>
    <w:embedRegular r:id="rId3" w:fontKey="{174A37BE-DA0D-4E57-9B7F-0C4AB6653F02}"/>
  </w:font>
  <w:font w:name="Cambria">
    <w:panose1 w:val="02040503050406030204"/>
    <w:charset w:val="00"/>
    <w:family w:val="roman"/>
    <w:pitch w:val="default"/>
    <w:sig w:usb0="E00006FF" w:usb1="420024FF" w:usb2="02000000" w:usb3="00000000" w:csb0="2000019F" w:csb1="00000000"/>
  </w:font>
  <w:font w:name="Songti SC">
    <w:altName w:val="宋体"/>
    <w:panose1 w:val="00000000000000000000"/>
    <w:charset w:val="86"/>
    <w:family w:val="auto"/>
    <w:pitch w:val="default"/>
    <w:sig w:usb0="00000000" w:usb1="0000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4" w:fontKey="{EAB0B901-F300-41FF-896D-BD0142D623B7}"/>
  </w:font>
  <w:font w:name="仿宋">
    <w:panose1 w:val="02010609060101010101"/>
    <w:charset w:val="86"/>
    <w:family w:val="modern"/>
    <w:pitch w:val="default"/>
    <w:sig w:usb0="800002BF" w:usb1="38CF7CFA" w:usb2="00000016" w:usb3="00000000" w:csb0="00040001" w:csb1="00000000"/>
    <w:embedRegular r:id="rId5" w:fontKey="{44674B06-E7AC-4091-9E01-F7CF9A639611}"/>
  </w:font>
  <w:font w:name="___WRD_EMBED_SUB_41">
    <w:altName w:val="宋体"/>
    <w:panose1 w:val="00000000000000000000"/>
    <w:charset w:val="86"/>
    <w:family w:val="modern"/>
    <w:pitch w:val="default"/>
    <w:sig w:usb0="00000000" w:usb1="00000000" w:usb2="00000010" w:usb3="00000000" w:csb0="00040000" w:csb1="00000000"/>
    <w:embedRegular r:id="rId6" w:fontKey="{D2ED5328-50E3-4E13-8CB7-960F25A2755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abstractNum w:abstractNumId="1">
    <w:nsid w:val="2F6F7450"/>
    <w:multiLevelType w:val="multilevel"/>
    <w:tmpl w:val="2F6F7450"/>
    <w:lvl w:ilvl="0" w:tentative="0">
      <w:start w:val="1"/>
      <w:numFmt w:val="decimalEnclosedCircle"/>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documentProtection w:enforcement="0"/>
  <w:defaultTabStop w:val="420"/>
  <w:drawingGridVerticalSpacing w:val="21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Q2MWJjYzE4ODNiNThkZWIwZDQzYTExYzlhYzg5MTQifQ=="/>
  </w:docVars>
  <w:rsids>
    <w:rsidRoot w:val="56DF6C36"/>
    <w:rsid w:val="0002329E"/>
    <w:rsid w:val="000D1297"/>
    <w:rsid w:val="001A3A42"/>
    <w:rsid w:val="001A41AC"/>
    <w:rsid w:val="001C3E36"/>
    <w:rsid w:val="00272969"/>
    <w:rsid w:val="00285C79"/>
    <w:rsid w:val="002A0D59"/>
    <w:rsid w:val="002B7757"/>
    <w:rsid w:val="002E1CAF"/>
    <w:rsid w:val="003038D2"/>
    <w:rsid w:val="0034711F"/>
    <w:rsid w:val="0037416E"/>
    <w:rsid w:val="004B149E"/>
    <w:rsid w:val="004F38D0"/>
    <w:rsid w:val="0054147C"/>
    <w:rsid w:val="00592601"/>
    <w:rsid w:val="005E45ED"/>
    <w:rsid w:val="0060049D"/>
    <w:rsid w:val="00617706"/>
    <w:rsid w:val="0061780C"/>
    <w:rsid w:val="00693FB5"/>
    <w:rsid w:val="00726256"/>
    <w:rsid w:val="0075517F"/>
    <w:rsid w:val="007678C3"/>
    <w:rsid w:val="00786F9D"/>
    <w:rsid w:val="00797DF7"/>
    <w:rsid w:val="008433BF"/>
    <w:rsid w:val="008A224E"/>
    <w:rsid w:val="008D6AE0"/>
    <w:rsid w:val="00966F22"/>
    <w:rsid w:val="009F39FC"/>
    <w:rsid w:val="00A17BDF"/>
    <w:rsid w:val="00A53F61"/>
    <w:rsid w:val="00A759D9"/>
    <w:rsid w:val="00B03E24"/>
    <w:rsid w:val="00B305F6"/>
    <w:rsid w:val="00B63F09"/>
    <w:rsid w:val="00B64E2B"/>
    <w:rsid w:val="00B71990"/>
    <w:rsid w:val="00BC7A5B"/>
    <w:rsid w:val="00C04C82"/>
    <w:rsid w:val="00C20CA4"/>
    <w:rsid w:val="00CF18B8"/>
    <w:rsid w:val="00D040A8"/>
    <w:rsid w:val="00E009F5"/>
    <w:rsid w:val="00E0546E"/>
    <w:rsid w:val="00E149F2"/>
    <w:rsid w:val="00E7193F"/>
    <w:rsid w:val="00EB223E"/>
    <w:rsid w:val="00EB5A8D"/>
    <w:rsid w:val="00F16B76"/>
    <w:rsid w:val="00F34D5B"/>
    <w:rsid w:val="00F44D24"/>
    <w:rsid w:val="00F45AF3"/>
    <w:rsid w:val="00F65F37"/>
    <w:rsid w:val="00F7424D"/>
    <w:rsid w:val="00FB1012"/>
    <w:rsid w:val="00FD07F5"/>
    <w:rsid w:val="03304250"/>
    <w:rsid w:val="057E6C6F"/>
    <w:rsid w:val="062652F2"/>
    <w:rsid w:val="09743699"/>
    <w:rsid w:val="12EA65EE"/>
    <w:rsid w:val="166626FB"/>
    <w:rsid w:val="16E66E3E"/>
    <w:rsid w:val="1B2572C5"/>
    <w:rsid w:val="1C9F7D88"/>
    <w:rsid w:val="23533E4B"/>
    <w:rsid w:val="2A7B5C9C"/>
    <w:rsid w:val="2A846AAC"/>
    <w:rsid w:val="31EE5C53"/>
    <w:rsid w:val="33A27FEF"/>
    <w:rsid w:val="394012FE"/>
    <w:rsid w:val="39AE7B43"/>
    <w:rsid w:val="3A5E212D"/>
    <w:rsid w:val="3AA528F0"/>
    <w:rsid w:val="3C1F3318"/>
    <w:rsid w:val="3E6E7AA7"/>
    <w:rsid w:val="435F1167"/>
    <w:rsid w:val="47CB0F32"/>
    <w:rsid w:val="50E926B1"/>
    <w:rsid w:val="51373C80"/>
    <w:rsid w:val="538452A3"/>
    <w:rsid w:val="551F668B"/>
    <w:rsid w:val="56DF6C36"/>
    <w:rsid w:val="56E22224"/>
    <w:rsid w:val="57785D2A"/>
    <w:rsid w:val="57EB305C"/>
    <w:rsid w:val="58E75F2E"/>
    <w:rsid w:val="5C3D2F98"/>
    <w:rsid w:val="5F5407BB"/>
    <w:rsid w:val="628F4B42"/>
    <w:rsid w:val="62BB6808"/>
    <w:rsid w:val="62CF5E0F"/>
    <w:rsid w:val="67687A02"/>
    <w:rsid w:val="6D7F5857"/>
    <w:rsid w:val="6EA7077F"/>
    <w:rsid w:val="6F736745"/>
    <w:rsid w:val="6FDA17BC"/>
    <w:rsid w:val="70B251EB"/>
    <w:rsid w:val="718F50E7"/>
    <w:rsid w:val="78191BAF"/>
    <w:rsid w:val="7A7430CC"/>
    <w:rsid w:val="7A765096"/>
    <w:rsid w:val="7B4038F6"/>
    <w:rsid w:val="7B4F7695"/>
    <w:rsid w:val="7B5567E1"/>
    <w:rsid w:val="7C672E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0"/>
    <w:pPr>
      <w:keepNext/>
      <w:keepLines/>
      <w:spacing w:line="600" w:lineRule="exact"/>
      <w:ind w:firstLine="627" w:firstLineChars="200"/>
      <w:outlineLvl w:val="0"/>
    </w:pPr>
    <w:rPr>
      <w:rFonts w:ascii="Calibri" w:hAnsi="Calibri" w:eastAsia="楷体"/>
      <w:b/>
      <w:kern w:val="44"/>
    </w:rPr>
  </w:style>
  <w:style w:type="paragraph" w:styleId="2">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ody Text Indent 2"/>
    <w:basedOn w:val="1"/>
    <w:autoRedefine/>
    <w:qFormat/>
    <w:uiPriority w:val="0"/>
    <w:pPr>
      <w:spacing w:line="480" w:lineRule="auto"/>
      <w:ind w:left="420" w:leftChars="200"/>
    </w:p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99"/>
    <w:rPr>
      <w:b/>
      <w:bCs/>
    </w:rPr>
  </w:style>
  <w:style w:type="character" w:customStyle="1" w:styleId="11">
    <w:name w:val="页眉 Char"/>
    <w:basedOn w:val="9"/>
    <w:link w:val="7"/>
    <w:qFormat/>
    <w:uiPriority w:val="0"/>
    <w:rPr>
      <w:rFonts w:eastAsia="仿宋_GB2312"/>
      <w:kern w:val="2"/>
      <w:sz w:val="18"/>
      <w:szCs w:val="18"/>
    </w:rPr>
  </w:style>
  <w:style w:type="character" w:customStyle="1" w:styleId="12">
    <w:name w:val="页脚 Char"/>
    <w:basedOn w:val="9"/>
    <w:link w:val="6"/>
    <w:qFormat/>
    <w:uiPriority w:val="0"/>
    <w:rPr>
      <w:rFonts w:eastAsia="仿宋_GB2312"/>
      <w:kern w:val="2"/>
      <w:sz w:val="18"/>
      <w:szCs w:val="18"/>
    </w:rPr>
  </w:style>
  <w:style w:type="paragraph" w:customStyle="1" w:styleId="13">
    <w:name w:val="计划书正文"/>
    <w:basedOn w:val="1"/>
    <w:qFormat/>
    <w:uiPriority w:val="0"/>
    <w:pPr>
      <w:adjustRightInd w:val="0"/>
      <w:spacing w:line="360" w:lineRule="auto"/>
    </w:pPr>
    <w:rPr>
      <w:rFonts w:eastAsia="Songti SC" w:asciiTheme="minorHAnsi" w:hAnsiTheme="minorHAnsi" w:cstheme="minorBidi"/>
      <w:sz w:val="24"/>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16</Pages>
  <Words>1566</Words>
  <Characters>1625</Characters>
  <Lines>56</Lines>
  <Paragraphs>15</Paragraphs>
  <TotalTime>4</TotalTime>
  <ScaleCrop>false</ScaleCrop>
  <LinksUpToDate>false</LinksUpToDate>
  <CharactersWithSpaces>1627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八喜</cp:lastModifiedBy>
  <cp:lastPrinted>2025-03-19T05:05:00Z</cp:lastPrinted>
  <dcterms:modified xsi:type="dcterms:W3CDTF">2026-09-07T10:22:30Z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41312E3E960A4378A111CAB91ADD6528_13</vt:lpwstr>
  </property>
  <property fmtid="{D5CDD505-2E9C-101B-9397-08002B2CF9AE}" pid="4" name="KSOTemplateDocerSaveRecord">
    <vt:lpwstr>eyJoZGlkIjoiMDAwYmRmZTlkODBlYWI2MWEzOGMyNWRlOTFmY2QzMTQiLCJ1c2VySWQiOiI3MDk1OTYwNjkifQ==</vt:lpwstr>
  </property>
</Properties>
</file>