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9A704D">
      <w:pPr>
        <w:pageBreakBefore w:val="0"/>
        <w:kinsoku/>
        <w:wordWrap/>
        <w:overflowPunct/>
        <w:topLinePunct w:val="0"/>
        <w:autoSpaceDE/>
        <w:autoSpaceDN/>
        <w:bidi w:val="0"/>
        <w:adjustRightInd/>
        <w:snapToGrid/>
        <w:spacing w:line="600" w:lineRule="exact"/>
        <w:ind w:leftChars="0"/>
        <w:jc w:val="center"/>
        <w:textAlignment w:val="auto"/>
        <w:rPr>
          <w:rFonts w:hint="eastAsia" w:ascii="宋体" w:hAnsi="宋体" w:eastAsia="宋体" w:cs="Arial"/>
          <w:b/>
          <w:bCs/>
          <w:sz w:val="36"/>
          <w:szCs w:val="36"/>
          <w:highlight w:val="none"/>
        </w:rPr>
      </w:pPr>
    </w:p>
    <w:p w14:paraId="624A3D14">
      <w:pPr>
        <w:pageBreakBefore w:val="0"/>
        <w:kinsoku/>
        <w:wordWrap/>
        <w:overflowPunct/>
        <w:topLinePunct w:val="0"/>
        <w:autoSpaceDE/>
        <w:autoSpaceDN/>
        <w:bidi w:val="0"/>
        <w:adjustRightInd/>
        <w:snapToGrid/>
        <w:spacing w:line="600" w:lineRule="exact"/>
        <w:ind w:leftChars="0"/>
        <w:jc w:val="center"/>
        <w:textAlignment w:val="auto"/>
        <w:rPr>
          <w:rFonts w:hint="eastAsia" w:ascii="方正小标宋简体" w:hAnsi="方正小标宋简体" w:eastAsia="方正小标宋简体" w:cs="方正小标宋简体"/>
          <w:b/>
          <w:bCs/>
          <w:sz w:val="44"/>
          <w:szCs w:val="44"/>
          <w:highlight w:val="none"/>
        </w:rPr>
      </w:pPr>
      <w:r>
        <w:rPr>
          <w:rFonts w:hint="eastAsia" w:ascii="方正小标宋简体" w:hAnsi="方正小标宋简体" w:eastAsia="方正小标宋简体" w:cs="方正小标宋简体"/>
          <w:b/>
          <w:bCs/>
          <w:sz w:val="44"/>
          <w:szCs w:val="44"/>
          <w:highlight w:val="none"/>
        </w:rPr>
        <w:t>项目支出绩效评价报告</w:t>
      </w:r>
    </w:p>
    <w:p w14:paraId="01E3B5A8">
      <w:pPr>
        <w:pageBreakBefore w:val="0"/>
        <w:kinsoku/>
        <w:wordWrap/>
        <w:overflowPunct/>
        <w:topLinePunct w:val="0"/>
        <w:autoSpaceDE/>
        <w:autoSpaceDN/>
        <w:bidi w:val="0"/>
        <w:adjustRightInd/>
        <w:snapToGrid/>
        <w:spacing w:line="600" w:lineRule="exact"/>
        <w:ind w:leftChars="0"/>
        <w:jc w:val="center"/>
        <w:textAlignment w:val="auto"/>
        <w:rPr>
          <w:rFonts w:hint="eastAsia" w:ascii="Times New Roman" w:hAnsi="宋体" w:cs="宋体"/>
          <w:color w:val="auto"/>
          <w:kern w:val="0"/>
          <w:sz w:val="36"/>
          <w:szCs w:val="36"/>
          <w:highlight w:val="none"/>
          <w:lang w:eastAsia="zh-CN"/>
        </w:rPr>
      </w:pPr>
      <w:r>
        <w:rPr>
          <w:rFonts w:hint="eastAsia" w:ascii="Times New Roman" w:hAnsi="宋体" w:cs="宋体"/>
          <w:color w:val="auto"/>
          <w:kern w:val="0"/>
          <w:sz w:val="36"/>
          <w:szCs w:val="36"/>
          <w:highlight w:val="none"/>
          <w:lang w:eastAsia="zh-CN"/>
        </w:rPr>
        <w:t>（</w:t>
      </w:r>
      <w:r>
        <w:rPr>
          <w:rFonts w:hint="eastAsia" w:ascii="Times New Roman" w:hAnsi="宋体" w:cs="宋体"/>
          <w:color w:val="auto"/>
          <w:kern w:val="0"/>
          <w:sz w:val="36"/>
          <w:szCs w:val="36"/>
          <w:highlight w:val="none"/>
          <w:lang w:val="en-US" w:eastAsia="zh-CN"/>
        </w:rPr>
        <w:t>202</w:t>
      </w:r>
      <w:r>
        <w:rPr>
          <w:rFonts w:hint="eastAsia" w:hAnsi="宋体" w:cs="宋体"/>
          <w:color w:val="auto"/>
          <w:kern w:val="0"/>
          <w:sz w:val="36"/>
          <w:szCs w:val="36"/>
          <w:highlight w:val="none"/>
          <w:lang w:val="en-US" w:eastAsia="zh-CN"/>
        </w:rPr>
        <w:t>5</w:t>
      </w:r>
      <w:r>
        <w:rPr>
          <w:rFonts w:hint="eastAsia" w:ascii="Times New Roman" w:hAnsi="宋体" w:cs="宋体"/>
          <w:color w:val="auto"/>
          <w:kern w:val="0"/>
          <w:sz w:val="36"/>
          <w:szCs w:val="36"/>
          <w:highlight w:val="none"/>
          <w:lang w:val="en-US" w:eastAsia="zh-CN"/>
        </w:rPr>
        <w:t>年度</w:t>
      </w:r>
      <w:r>
        <w:rPr>
          <w:rFonts w:hint="eastAsia" w:ascii="Times New Roman" w:hAnsi="宋体" w:cs="宋体"/>
          <w:color w:val="auto"/>
          <w:kern w:val="0"/>
          <w:sz w:val="36"/>
          <w:szCs w:val="36"/>
          <w:highlight w:val="none"/>
          <w:lang w:eastAsia="zh-CN"/>
        </w:rPr>
        <w:t>）</w:t>
      </w:r>
    </w:p>
    <w:p w14:paraId="7F91A370">
      <w:pPr>
        <w:pStyle w:val="3"/>
        <w:rPr>
          <w:rFonts w:hint="eastAsia" w:ascii="Times New Roman" w:hAnsi="宋体" w:cs="宋体"/>
          <w:color w:val="auto"/>
          <w:kern w:val="0"/>
          <w:sz w:val="36"/>
          <w:szCs w:val="36"/>
          <w:highlight w:val="none"/>
          <w:lang w:eastAsia="zh-CN"/>
        </w:rPr>
      </w:pPr>
    </w:p>
    <w:p w14:paraId="6105E3E5">
      <w:pPr>
        <w:rPr>
          <w:rFonts w:hint="eastAsia" w:ascii="Times New Roman" w:hAnsi="宋体" w:cs="宋体"/>
          <w:color w:val="auto"/>
          <w:kern w:val="0"/>
          <w:sz w:val="36"/>
          <w:szCs w:val="36"/>
          <w:highlight w:val="none"/>
          <w:lang w:eastAsia="zh-CN"/>
        </w:rPr>
      </w:pPr>
    </w:p>
    <w:p w14:paraId="1F7AB263">
      <w:pPr>
        <w:pStyle w:val="3"/>
        <w:rPr>
          <w:rFonts w:hint="eastAsia" w:ascii="Times New Roman" w:hAnsi="宋体" w:cs="宋体"/>
          <w:color w:val="auto"/>
          <w:kern w:val="0"/>
          <w:sz w:val="36"/>
          <w:szCs w:val="36"/>
          <w:highlight w:val="none"/>
          <w:lang w:eastAsia="zh-CN"/>
        </w:rPr>
      </w:pPr>
    </w:p>
    <w:p w14:paraId="5B37ADB9">
      <w:pPr>
        <w:pStyle w:val="3"/>
        <w:rPr>
          <w:rFonts w:hint="eastAsia"/>
          <w:highlight w:val="none"/>
          <w:lang w:eastAsia="zh-CN"/>
        </w:rPr>
      </w:pPr>
    </w:p>
    <w:p w14:paraId="25C62AAF">
      <w:pPr>
        <w:ind w:left="4320" w:right="750" w:rightChars="250" w:hanging="3840" w:hangingChars="1200"/>
        <w:jc w:val="both"/>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项目名称：体育赛事备战经费</w:t>
      </w:r>
    </w:p>
    <w:p w14:paraId="18B1EC90">
      <w:pPr>
        <w:jc w:val="left"/>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实施单位（公章）：</w:t>
      </w:r>
      <w:r>
        <w:rPr>
          <w:rFonts w:hint="eastAsia" w:ascii="仿宋" w:hAnsi="仿宋" w:eastAsia="仿宋" w:cs="仿宋"/>
          <w:color w:val="auto"/>
          <w:kern w:val="0"/>
          <w:sz w:val="32"/>
          <w:szCs w:val="32"/>
          <w:highlight w:val="none"/>
          <w:lang w:val="en-US" w:eastAsia="zh-CN"/>
        </w:rPr>
        <w:t>新疆维吾尔自治区体育局摔跤柔道运动管理中心</w:t>
      </w:r>
    </w:p>
    <w:p w14:paraId="41628B3C">
      <w:pPr>
        <w:ind w:left="4320" w:right="750" w:rightChars="250" w:hanging="3840" w:hangingChars="1200"/>
        <w:jc w:val="both"/>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主管部门（公章）：</w:t>
      </w:r>
      <w:r>
        <w:rPr>
          <w:rFonts w:hint="eastAsia" w:ascii="仿宋" w:hAnsi="仿宋" w:eastAsia="仿宋" w:cs="仿宋"/>
          <w:color w:val="auto"/>
          <w:kern w:val="0"/>
          <w:sz w:val="32"/>
          <w:szCs w:val="32"/>
          <w:highlight w:val="none"/>
          <w:lang w:val="en-US" w:eastAsia="zh-CN"/>
        </w:rPr>
        <w:t>新疆维吾尔自治区体育局</w:t>
      </w:r>
    </w:p>
    <w:p w14:paraId="6110C4ED">
      <w:pPr>
        <w:ind w:left="4320" w:right="750" w:rightChars="250" w:hanging="3840" w:hangingChars="1200"/>
        <w:jc w:val="both"/>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项目负责人（签章）</w:t>
      </w:r>
      <w:r>
        <w:rPr>
          <w:rFonts w:hint="eastAsia" w:ascii="仿宋" w:hAnsi="仿宋" w:eastAsia="仿宋" w:cs="仿宋"/>
          <w:color w:val="auto"/>
          <w:kern w:val="0"/>
          <w:sz w:val="32"/>
          <w:szCs w:val="32"/>
          <w:highlight w:val="none"/>
          <w:lang w:val="en-US" w:eastAsia="zh-CN"/>
        </w:rPr>
        <w:t>：郭岩</w:t>
      </w:r>
    </w:p>
    <w:p w14:paraId="3EC6C2A1">
      <w:pPr>
        <w:rPr>
          <w:rFonts w:ascii="仿宋_GB2312"/>
          <w:szCs w:val="30"/>
          <w:highlight w:val="none"/>
        </w:rPr>
      </w:pPr>
      <w:r>
        <w:rPr>
          <w:rFonts w:hint="eastAsia" w:ascii="仿宋" w:hAnsi="仿宋" w:eastAsia="仿宋" w:cs="仿宋"/>
          <w:color w:val="auto"/>
          <w:kern w:val="0"/>
          <w:sz w:val="32"/>
          <w:szCs w:val="32"/>
          <w:highlight w:val="none"/>
        </w:rPr>
        <w:t>填报时间：</w:t>
      </w:r>
      <w:r>
        <w:rPr>
          <w:rFonts w:hint="eastAsia" w:ascii="仿宋" w:hAnsi="仿宋" w:eastAsia="仿宋" w:cs="仿宋"/>
          <w:color w:val="auto"/>
          <w:kern w:val="0"/>
          <w:sz w:val="32"/>
          <w:szCs w:val="32"/>
          <w:highlight w:val="none"/>
          <w:lang w:val="en-US" w:eastAsia="zh-CN"/>
        </w:rPr>
        <w:t>2026</w:t>
      </w:r>
      <w:r>
        <w:rPr>
          <w:rFonts w:hint="eastAsia" w:ascii="仿宋" w:hAnsi="仿宋" w:eastAsia="仿宋" w:cs="仿宋"/>
          <w:color w:val="auto"/>
          <w:kern w:val="0"/>
          <w:sz w:val="32"/>
          <w:szCs w:val="32"/>
          <w:highlight w:val="none"/>
        </w:rPr>
        <w:t xml:space="preserve">年 </w:t>
      </w: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月</w:t>
      </w:r>
      <w:r>
        <w:rPr>
          <w:rFonts w:hint="eastAsia" w:ascii="仿宋" w:hAnsi="仿宋" w:eastAsia="仿宋" w:cs="仿宋"/>
          <w:color w:val="auto"/>
          <w:kern w:val="0"/>
          <w:sz w:val="32"/>
          <w:szCs w:val="32"/>
          <w:highlight w:val="none"/>
          <w:lang w:val="en-US" w:eastAsia="zh-CN"/>
        </w:rPr>
        <w:t xml:space="preserve">24 </w:t>
      </w:r>
      <w:r>
        <w:rPr>
          <w:rFonts w:hint="eastAsia" w:ascii="仿宋" w:hAnsi="仿宋" w:eastAsia="仿宋" w:cs="仿宋"/>
          <w:color w:val="auto"/>
          <w:kern w:val="0"/>
          <w:sz w:val="32"/>
          <w:szCs w:val="32"/>
          <w:highlight w:val="none"/>
        </w:rPr>
        <w:t>日</w:t>
      </w:r>
      <w:r>
        <w:rPr>
          <w:rFonts w:ascii="仿宋_GB2312"/>
          <w:szCs w:val="30"/>
          <w:highlight w:val="none"/>
        </w:rPr>
        <w:br w:type="page"/>
      </w:r>
    </w:p>
    <w:p w14:paraId="6ECA9C83">
      <w:pPr>
        <w:keepNext w:val="0"/>
        <w:keepLines w:val="0"/>
        <w:pageBreakBefore w:val="0"/>
        <w:widowControl w:val="0"/>
        <w:kinsoku/>
        <w:wordWrap/>
        <w:overflowPunct/>
        <w:topLinePunct w:val="0"/>
        <w:autoSpaceDE/>
        <w:autoSpaceDN/>
        <w:bidi w:val="0"/>
        <w:adjustRightInd/>
        <w:snapToGrid/>
        <w:spacing w:line="560" w:lineRule="exact"/>
        <w:ind w:leftChars="0" w:firstLine="600" w:firstLineChars="200"/>
        <w:textAlignment w:val="auto"/>
        <w:rPr>
          <w:rFonts w:ascii="黑体" w:hAnsi="黑体" w:eastAsia="黑体"/>
          <w:highlight w:val="none"/>
        </w:rPr>
      </w:pPr>
      <w:r>
        <w:rPr>
          <w:rFonts w:hint="eastAsia" w:ascii="黑体" w:hAnsi="黑体" w:eastAsia="黑体"/>
          <w:highlight w:val="none"/>
        </w:rPr>
        <w:t>一、基本情况</w:t>
      </w:r>
    </w:p>
    <w:p w14:paraId="2E6B2FFC">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（一）项目概况。</w:t>
      </w:r>
    </w:p>
    <w:p w14:paraId="1F86A9F3">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default" w:ascii="仿宋_GB2312" w:hAnsi="仿宋_GB2312" w:eastAsia="仿宋_GB2312" w:cs="仿宋_GB2312"/>
          <w:color w:val="auto"/>
          <w:sz w:val="32"/>
          <w:szCs w:val="32"/>
          <w:highlight w:val="none"/>
        </w:rPr>
      </w:pPr>
      <w:r>
        <w:rPr>
          <w:rFonts w:hint="default"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rPr>
        <w:t>项目背景</w:t>
      </w:r>
    </w:p>
    <w:p w14:paraId="09F9E27E">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ascii="仿宋_GB2312" w:hAnsi="仿宋_GB2312" w:eastAsia="仿宋_GB2312" w:cs="仿宋_GB2312"/>
          <w:color w:val="auto"/>
          <w:kern w:val="2"/>
          <w:sz w:val="32"/>
          <w:szCs w:val="32"/>
          <w:highlight w:val="none"/>
          <w:lang w:bidi="ar-SA"/>
        </w:rPr>
      </w:pPr>
      <w:r>
        <w:rPr>
          <w:rFonts w:ascii="仿宋_GB2312" w:hAnsi="仿宋_GB2312" w:eastAsia="仿宋_GB2312" w:cs="仿宋_GB2312"/>
          <w:color w:val="auto"/>
          <w:kern w:val="2"/>
          <w:sz w:val="32"/>
          <w:szCs w:val="32"/>
          <w:highlight w:val="none"/>
          <w:lang w:bidi="ar-SA"/>
        </w:rPr>
        <w:t>新疆维吾尔自治区体育局下属的</w:t>
      </w:r>
      <w:r>
        <w:rPr>
          <w:rFonts w:hint="eastAsia" w:ascii="仿宋_GB2312" w:hAnsi="仿宋_GB2312" w:cs="仿宋_GB2312"/>
          <w:color w:val="auto"/>
          <w:kern w:val="2"/>
          <w:sz w:val="32"/>
          <w:szCs w:val="32"/>
          <w:highlight w:val="none"/>
          <w:lang w:eastAsia="zh-CN" w:bidi="ar-SA"/>
        </w:rPr>
        <w:t>新疆维吾尔自治区</w:t>
      </w:r>
      <w:r>
        <w:rPr>
          <w:rFonts w:ascii="仿宋_GB2312" w:hAnsi="仿宋_GB2312" w:eastAsia="仿宋_GB2312" w:cs="仿宋_GB2312"/>
          <w:color w:val="auto"/>
          <w:kern w:val="2"/>
          <w:sz w:val="32"/>
          <w:szCs w:val="32"/>
          <w:highlight w:val="none"/>
          <w:lang w:bidi="ar-SA"/>
        </w:rPr>
        <w:t>摔跤柔道运动管理中心，其历史可追溯至1989年3月成立的新疆维吾尔自治区体委体育训练三大队，后于1998年7月更名为摔跤柔道运动管理中心。该中心位于乌鲁木齐市南郊，毗邻水上乐园。其核心职能包括培养、管理及指导新疆区内举重、摔跤、柔道等项目的优秀运动队，并负责举办全国及全疆范围内的相关比赛。目前，中心涵盖举重、摔跤、柔道等</w:t>
      </w:r>
      <w:r>
        <w:rPr>
          <w:rFonts w:hint="eastAsia" w:ascii="仿宋_GB2312" w:hAnsi="仿宋_GB2312" w:cs="仿宋_GB2312"/>
          <w:color w:val="auto"/>
          <w:kern w:val="2"/>
          <w:sz w:val="32"/>
          <w:szCs w:val="32"/>
          <w:highlight w:val="none"/>
          <w:lang w:eastAsia="zh-CN" w:bidi="ar-SA"/>
        </w:rPr>
        <w:t>三</w:t>
      </w:r>
      <w:r>
        <w:rPr>
          <w:rFonts w:ascii="仿宋_GB2312" w:hAnsi="仿宋_GB2312" w:eastAsia="仿宋_GB2312" w:cs="仿宋_GB2312"/>
          <w:color w:val="auto"/>
          <w:kern w:val="2"/>
          <w:sz w:val="32"/>
          <w:szCs w:val="32"/>
          <w:highlight w:val="none"/>
          <w:lang w:bidi="ar-SA"/>
        </w:rPr>
        <w:t>大项目，以及男子举重、女子举重、古典式摔跤、男子自由式摔跤、女子自由式摔跤、男子柔道、女子柔道和中国式摔跤等</w:t>
      </w:r>
      <w:r>
        <w:rPr>
          <w:rFonts w:hint="eastAsia" w:ascii="仿宋_GB2312" w:hAnsi="仿宋_GB2312" w:cs="仿宋_GB2312"/>
          <w:color w:val="auto"/>
          <w:kern w:val="2"/>
          <w:sz w:val="32"/>
          <w:szCs w:val="32"/>
          <w:highlight w:val="none"/>
          <w:lang w:eastAsia="zh-CN" w:bidi="ar-SA"/>
        </w:rPr>
        <w:t>八</w:t>
      </w:r>
      <w:r>
        <w:rPr>
          <w:rFonts w:ascii="仿宋_GB2312" w:hAnsi="仿宋_GB2312" w:eastAsia="仿宋_GB2312" w:cs="仿宋_GB2312"/>
          <w:color w:val="auto"/>
          <w:kern w:val="2"/>
          <w:sz w:val="32"/>
          <w:szCs w:val="32"/>
          <w:highlight w:val="none"/>
          <w:lang w:bidi="ar-SA"/>
        </w:rPr>
        <w:t>个小项的运动队。在硬件设施方面，中心拥有综合办公宿舍楼、运动员食堂、综合训练馆（含古典式摔跤馆、自由式摔跤馆和柔道馆）、体能训练馆（一楼举重训练馆）、室外简易田径训练场地以及塑胶篮球（网球）场。得益于国家体育总局的大力支持，2010年12月，中国举重训练基地在体能训练馆正式挂牌。2017年，国家乌鲁木齐摔跤训练基地在摔跤馆挂牌。2018年，中心恢复了中国式摔跤项目。</w:t>
      </w:r>
    </w:p>
    <w:p w14:paraId="260654B9">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ascii="仿宋_GB2312" w:hAnsi="仿宋_GB2312" w:eastAsia="仿宋_GB2312" w:cs="仿宋_GB2312"/>
          <w:color w:val="auto"/>
          <w:kern w:val="2"/>
          <w:sz w:val="32"/>
          <w:szCs w:val="32"/>
          <w:highlight w:val="none"/>
          <w:lang w:bidi="ar-SA"/>
        </w:rPr>
      </w:pPr>
      <w:r>
        <w:rPr>
          <w:rFonts w:ascii="仿宋_GB2312" w:hAnsi="仿宋_GB2312" w:eastAsia="仿宋_GB2312" w:cs="仿宋_GB2312"/>
          <w:color w:val="auto"/>
          <w:kern w:val="2"/>
          <w:sz w:val="32"/>
          <w:szCs w:val="32"/>
          <w:highlight w:val="none"/>
          <w:lang w:bidi="ar-SA"/>
        </w:rPr>
        <w:t>近年来，在自治区体育局的关心与大力支持下，中心党委坚持软硬件建设并重，取得了显著成效。在短短几年内，中心荣获天山区文明单位、乌鲁木齐市文明单位、自治区文明单位等称号。2012年，中心被中共新疆维吾尔自治区委员会组织部授予自治区组织系统讲党性、重品行、做表率活动及双满意建设“先进集体”。女子自由式摔跤队亦被自治区区直机关表彰为“巾帼文明岗”先进集体。此外，中心连续三次被国家人力资源和社会保障部、国家体育总局授予“全国体育系统先进集体”称号，连续两次被国家体育总局群体司授予“全国群众体育先进集体”称号，被自治区党委、自治区人民政府评为“让党中央放心、让人民群众满意”的模范机关，成为全区体育系统唯一获此殊荣的单位。同时，中心还荣获民族团结先进单位、平安建设单位、绿化达标单位和计划生育达标单位等荣誉。2022年，中心古典式摔跤队被自治区团委评为“青年文明号”集体。同年，中心在亚锦赛中荣获铜牌。根据单位项目预计情况分析，各项支出严格按照202</w:t>
      </w:r>
      <w:r>
        <w:rPr>
          <w:rFonts w:hint="eastAsia" w:ascii="仿宋_GB2312" w:hAnsi="仿宋_GB2312" w:cs="仿宋_GB2312"/>
          <w:color w:val="auto"/>
          <w:kern w:val="2"/>
          <w:sz w:val="32"/>
          <w:szCs w:val="32"/>
          <w:highlight w:val="none"/>
          <w:lang w:val="en-US" w:eastAsia="zh-CN" w:bidi="ar-SA"/>
        </w:rPr>
        <w:t>5</w:t>
      </w:r>
      <w:r>
        <w:rPr>
          <w:rFonts w:ascii="仿宋_GB2312" w:hAnsi="仿宋_GB2312" w:eastAsia="仿宋_GB2312" w:cs="仿宋_GB2312"/>
          <w:color w:val="auto"/>
          <w:kern w:val="2"/>
          <w:sz w:val="32"/>
          <w:szCs w:val="32"/>
          <w:highlight w:val="none"/>
          <w:lang w:bidi="ar-SA"/>
        </w:rPr>
        <w:t>年度比赛竞赛规程及补充通知关于比赛期间的食宿交通标准实报实销，外籍专家经费按与专家签订的合同支付工资、交通、差旅费及其他费用，服装、器材装备及营养补剂按预算执行。专项资金的使用严格遵循专款专用原则，以最大限度提高资金利用率，并本着节约原则，落实管理和用好备战专项资金。</w:t>
      </w:r>
    </w:p>
    <w:p w14:paraId="11D29814">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ascii="仿宋_GB2312" w:hAnsi="仿宋_GB2312" w:eastAsia="仿宋_GB2312" w:cs="仿宋_GB2312"/>
          <w:color w:val="auto"/>
          <w:kern w:val="2"/>
          <w:sz w:val="32"/>
          <w:szCs w:val="32"/>
          <w:highlight w:val="none"/>
          <w:lang w:bidi="ar-SA"/>
        </w:rPr>
      </w:pPr>
      <w:r>
        <w:rPr>
          <w:rFonts w:ascii="仿宋_GB2312" w:hAnsi="仿宋_GB2312" w:eastAsia="仿宋_GB2312" w:cs="仿宋_GB2312"/>
          <w:color w:val="auto"/>
          <w:kern w:val="2"/>
          <w:sz w:val="32"/>
          <w:szCs w:val="32"/>
          <w:highlight w:val="none"/>
          <w:lang w:bidi="ar-SA"/>
        </w:rPr>
        <w:t>自成立以来，中心培养出众多杰出的体育人才，在奥运会、世界、亚洲及全国比赛中屡创佳绩。特别是2012年，中心举重运动员在第30届伦敦奥运会上夺得新疆首枚奥运会金牌；中心古典式摔跤运动员瓦里汗·赛里克在2021年东京奥运会上荣获60Kg铜牌；男子自由式摔跤运动员哈比拉·阿吾萨衣满在2023年杭州亚运会上获得97Kg铜牌，</w:t>
      </w:r>
      <w:r>
        <w:rPr>
          <w:rFonts w:hint="eastAsia" w:ascii="仿宋_GB2312" w:hAnsi="仿宋_GB2312" w:cs="仿宋_GB2312"/>
          <w:color w:val="auto"/>
          <w:kern w:val="2"/>
          <w:sz w:val="32"/>
          <w:szCs w:val="32"/>
          <w:highlight w:val="none"/>
          <w:lang w:eastAsia="zh-CN" w:bidi="ar-SA"/>
        </w:rPr>
        <w:t>柔道项目阿依曼</w:t>
      </w:r>
      <w:r>
        <w:rPr>
          <w:rFonts w:hint="eastAsia" w:ascii="仿宋_GB2312" w:hAnsi="仿宋_GB2312" w:cs="仿宋_GB2312"/>
          <w:color w:val="auto"/>
          <w:kern w:val="2"/>
          <w:sz w:val="32"/>
          <w:szCs w:val="32"/>
          <w:highlight w:val="none"/>
          <w:lang w:val="en-US" w:eastAsia="zh-CN" w:bidi="ar-SA"/>
        </w:rPr>
        <w:t>·金俄斯努尔在2025年亚洲柔道锦标赛中获得+78kg金牌，2025年</w:t>
      </w:r>
      <w:r>
        <w:rPr>
          <w:rFonts w:ascii="仿宋_GB2312" w:hAnsi="仿宋_GB2312" w:eastAsia="仿宋_GB2312" w:cs="仿宋_GB2312"/>
          <w:color w:val="auto"/>
          <w:kern w:val="2"/>
          <w:sz w:val="32"/>
          <w:szCs w:val="32"/>
          <w:highlight w:val="none"/>
          <w:lang w:bidi="ar-SA"/>
        </w:rPr>
        <w:t>为中国的体育事业和新疆的发展做出了巨大贡献。</w:t>
      </w:r>
    </w:p>
    <w:p w14:paraId="02822643">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2、主要内容及实施情况 </w:t>
      </w:r>
    </w:p>
    <w:p w14:paraId="22E37FF7">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cs="仿宋_GB2312"/>
          <w:color w:val="auto"/>
          <w:kern w:val="2"/>
          <w:sz w:val="32"/>
          <w:szCs w:val="32"/>
          <w:highlight w:val="none"/>
          <w:lang w:val="en-US" w:eastAsia="zh-CN" w:bidi="ar-SA"/>
        </w:rPr>
      </w:pPr>
      <w:r>
        <w:rPr>
          <w:rFonts w:hint="eastAsia" w:ascii="仿宋_GB2312" w:hAnsi="仿宋_GB2312" w:cs="仿宋_GB2312"/>
          <w:color w:val="auto"/>
          <w:kern w:val="2"/>
          <w:sz w:val="32"/>
          <w:szCs w:val="32"/>
          <w:highlight w:val="none"/>
          <w:lang w:val="en-US" w:eastAsia="zh-CN" w:bidi="ar-SA"/>
        </w:rPr>
        <w:t>本中心致力于确保运动员在训练、比赛、康复治疗、膳食、学习、外籍专家经费、服装器材装备、运动营养补给、运动员联合培养经费等方面的各项支出得到充分保障，以促进新疆区内举重、摔跤、柔道项目的稳定和健康发展，实现为祖国争光、为新疆添彩的目标。</w:t>
      </w:r>
    </w:p>
    <w:p w14:paraId="2698EFA5">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各项目指标均已完成，完成效果较好。</w:t>
      </w:r>
    </w:p>
    <w:p w14:paraId="6F87B267">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3、资金投入和使用情况</w:t>
      </w:r>
    </w:p>
    <w:p w14:paraId="7143A020">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2025</w:t>
      </w:r>
      <w:r>
        <w:rPr>
          <w:rFonts w:hint="eastAsia" w:ascii="仿宋_GB2312" w:hAnsi="仿宋_GB2312" w:eastAsia="仿宋_GB2312" w:cs="仿宋_GB2312"/>
          <w:color w:val="auto"/>
          <w:sz w:val="32"/>
          <w:szCs w:val="32"/>
          <w:highlight w:val="none"/>
          <w:lang w:val="en-US" w:eastAsia="zh-CN"/>
        </w:rPr>
        <w:t>年预算资金</w:t>
      </w:r>
      <w:r>
        <w:rPr>
          <w:rFonts w:hint="eastAsia" w:ascii="仿宋_GB2312" w:hAnsi="仿宋_GB2312" w:cs="仿宋_GB2312"/>
          <w:color w:val="auto"/>
          <w:sz w:val="32"/>
          <w:szCs w:val="32"/>
          <w:highlight w:val="none"/>
          <w:lang w:val="en-US" w:eastAsia="zh-CN"/>
        </w:rPr>
        <w:t>1143</w:t>
      </w:r>
      <w:r>
        <w:rPr>
          <w:rFonts w:hint="eastAsia" w:ascii="仿宋_GB2312" w:hAnsi="仿宋_GB2312" w:eastAsia="仿宋_GB2312" w:cs="仿宋_GB2312"/>
          <w:color w:val="auto"/>
          <w:sz w:val="32"/>
          <w:szCs w:val="32"/>
          <w:highlight w:val="none"/>
          <w:lang w:val="en-US" w:eastAsia="zh-CN"/>
        </w:rPr>
        <w:t>万元，已全额到位，均为财政拨款，无自筹资金，预算资金到位率达到</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14:paraId="343243DA">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截止</w:t>
      </w:r>
      <w:r>
        <w:rPr>
          <w:rFonts w:hint="eastAsia" w:ascii="仿宋_GB2312" w:hAnsi="仿宋_GB2312" w:cs="仿宋_GB2312"/>
          <w:color w:val="auto"/>
          <w:sz w:val="32"/>
          <w:szCs w:val="32"/>
          <w:highlight w:val="none"/>
          <w:lang w:val="en-US" w:eastAsia="zh-CN"/>
        </w:rPr>
        <w:t>2025</w:t>
      </w:r>
      <w:r>
        <w:rPr>
          <w:rFonts w:hint="eastAsia" w:ascii="仿宋_GB2312" w:hAnsi="仿宋_GB2312" w:eastAsia="仿宋_GB2312" w:cs="仿宋_GB2312"/>
          <w:color w:val="auto"/>
          <w:sz w:val="32"/>
          <w:szCs w:val="32"/>
          <w:highlight w:val="none"/>
          <w:lang w:val="en-US" w:eastAsia="zh-CN"/>
        </w:rPr>
        <w:t>年12月31日为止，已支出</w:t>
      </w:r>
      <w:r>
        <w:rPr>
          <w:rFonts w:hint="eastAsia" w:ascii="仿宋_GB2312" w:hAnsi="仿宋_GB2312" w:cs="仿宋_GB2312"/>
          <w:color w:val="auto"/>
          <w:sz w:val="32"/>
          <w:szCs w:val="32"/>
          <w:highlight w:val="none"/>
          <w:lang w:val="en-US" w:eastAsia="zh-CN"/>
        </w:rPr>
        <w:t>1008.55</w:t>
      </w:r>
      <w:r>
        <w:rPr>
          <w:rFonts w:hint="eastAsia" w:ascii="仿宋_GB2312" w:hAnsi="仿宋_GB2312" w:eastAsia="仿宋_GB2312" w:cs="仿宋_GB2312"/>
          <w:color w:val="auto"/>
          <w:sz w:val="32"/>
          <w:szCs w:val="32"/>
          <w:highlight w:val="none"/>
          <w:lang w:val="en-US" w:eastAsia="zh-CN"/>
        </w:rPr>
        <w:t>万元，资金执行率</w:t>
      </w:r>
      <w:r>
        <w:rPr>
          <w:rFonts w:hint="eastAsia" w:ascii="仿宋_GB2312" w:hAnsi="仿宋_GB2312" w:cs="仿宋_GB2312"/>
          <w:color w:val="auto"/>
          <w:sz w:val="32"/>
          <w:szCs w:val="32"/>
          <w:highlight w:val="none"/>
          <w:lang w:val="en-US" w:eastAsia="zh-CN"/>
        </w:rPr>
        <w:t>88.24%</w:t>
      </w:r>
      <w:r>
        <w:rPr>
          <w:rFonts w:hint="eastAsia" w:ascii="仿宋_GB2312" w:hAnsi="仿宋_GB2312" w:eastAsia="仿宋_GB2312" w:cs="仿宋_GB2312"/>
          <w:color w:val="auto"/>
          <w:sz w:val="32"/>
          <w:szCs w:val="32"/>
          <w:highlight w:val="none"/>
          <w:lang w:val="en-US" w:eastAsia="zh-CN"/>
        </w:rPr>
        <w:t>。各项资金拨付严格按照上级文件指示精神进行，支出均有相关的授权审批，资金拨付严格按审批程序进行，使用规范，会计核算结果真实、准确。</w:t>
      </w:r>
    </w:p>
    <w:p w14:paraId="7B1B8F07">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项目绩效目标。</w:t>
      </w:r>
    </w:p>
    <w:p w14:paraId="72C7847C">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总体目标：主要培养后备人才不少于310人，向国家队输送不少于6名运动员，参加国内外竞赛不少于12场，购买运动器材及服装1批，运动员赴其他省市（地州）训练不少于140人次，外聘教练员及运动员数量29名，预计取得奖牌数量不少于30个。通过举办各项目选星训练营，建设后备人才培养基地等方式，选拔优秀的后备人才进入自治区专业队序列，提升竞技体育后备人才队伍培养成效；保障运动员训练、康复、生活、学习等各项支出，确保水平运动队的后勤保障，实现竞技体育和运动成绩的突破。</w:t>
      </w:r>
    </w:p>
    <w:p w14:paraId="6DAA76CC">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阶段性目标：无。</w:t>
      </w:r>
    </w:p>
    <w:p w14:paraId="63E9959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二、绩效评价工作开展情况</w:t>
      </w:r>
    </w:p>
    <w:p w14:paraId="0323F35E">
      <w:pPr>
        <w:keepNext w:val="0"/>
        <w:keepLines w:val="0"/>
        <w:pageBreakBefore w:val="0"/>
        <w:widowControl w:val="0"/>
        <w:kinsoku/>
        <w:wordWrap/>
        <w:overflowPunct/>
        <w:topLinePunct w:val="0"/>
        <w:autoSpaceDE/>
        <w:autoSpaceDN/>
        <w:bidi w:val="0"/>
        <w:adjustRightInd/>
        <w:snapToGrid/>
        <w:spacing w:line="560" w:lineRule="exact"/>
        <w:ind w:leftChars="0" w:firstLine="643" w:firstLineChars="200"/>
        <w:jc w:val="left"/>
        <w:textAlignment w:val="auto"/>
        <w:outlineLvl w:val="0"/>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（一）绩效评价目的、对象和范围。</w:t>
      </w:r>
    </w:p>
    <w:p w14:paraId="68BB5BC7">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绩效评价旨在通过评价改善预算部门的财政支出管理，优化资源配置及提高公共服务水平。本次绩效评价我单位遵循《中华人民共和国预算法》、《中共中央国务院关于全面实施预算绩效管理的意见》（中发〔2018〕34号文）、《自治区党委 自治区人民政府关于全面实施预算绩效管理的实施意见》（新党发〔2018〕30号文）、《关于做好2019年自治区预算绩效管理工作》（新财预〔2019〕20号）、《自治区全面实施预算绩效管理的工作方案》（新财预〔2018〕158号）、《自治区财政支出事前绩效评估管理暂行办法》（新财预〔2019〕36号）文件要求，引入第三方主体，采用科学、规范的方法，依据既定的评价技术体系，为加强财政预算资金管理，客观公正地核查体育赛事备战经费项</w:t>
      </w:r>
      <w:r>
        <w:rPr>
          <w:rFonts w:hint="eastAsia" w:ascii="仿宋" w:hAnsi="仿宋" w:eastAsia="仿宋" w:cs="仿宋"/>
          <w:color w:val="auto"/>
          <w:kern w:val="0"/>
          <w:sz w:val="32"/>
          <w:szCs w:val="32"/>
          <w:highlight w:val="none"/>
          <w:lang w:val="en-US" w:eastAsia="zh-CN"/>
        </w:rPr>
        <w:t>目</w:t>
      </w:r>
      <w:r>
        <w:rPr>
          <w:rFonts w:hint="eastAsia" w:ascii="仿宋_GB2312" w:hAnsi="仿宋_GB2312" w:eastAsia="仿宋_GB2312" w:cs="仿宋_GB2312"/>
          <w:color w:val="auto"/>
          <w:sz w:val="32"/>
          <w:szCs w:val="32"/>
          <w:highlight w:val="none"/>
          <w:lang w:val="en-US" w:eastAsia="zh-CN"/>
        </w:rPr>
        <w:t>设计目标实现程度，考核项目资金支出效率和综合效果，及时总结经验，分析存在问题及原因，切实采取有效措施进一步改进和加强财政专项资金管理，推动财政资金聚力增效，提高公共服务供给质量，增强政府公信力和执行力。</w:t>
      </w:r>
    </w:p>
    <w:p w14:paraId="06A2AB4C">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我单位从决策、过程、产出、成本和效果五个方面针对本项目进行评价，通过开展绩效评价，提高财政资金分配的科学性、有效性，向建立绩效预算制度迈出重要的一步。</w:t>
      </w:r>
    </w:p>
    <w:p w14:paraId="16702E9E">
      <w:pPr>
        <w:keepNext w:val="0"/>
        <w:keepLines w:val="0"/>
        <w:pageBreakBefore w:val="0"/>
        <w:widowControl w:val="0"/>
        <w:kinsoku/>
        <w:wordWrap/>
        <w:overflowPunct/>
        <w:topLinePunct w:val="0"/>
        <w:autoSpaceDE/>
        <w:autoSpaceDN/>
        <w:bidi w:val="0"/>
        <w:adjustRightInd/>
        <w:snapToGrid/>
        <w:spacing w:line="560" w:lineRule="exact"/>
        <w:ind w:leftChars="0" w:firstLine="643" w:firstLineChars="200"/>
        <w:jc w:val="left"/>
        <w:textAlignment w:val="auto"/>
        <w:outlineLvl w:val="0"/>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lang w:eastAsia="zh-CN"/>
        </w:rPr>
        <w:t>（二）</w:t>
      </w:r>
      <w:r>
        <w:rPr>
          <w:rFonts w:hint="eastAsia" w:ascii="楷体" w:hAnsi="楷体" w:eastAsia="楷体" w:cs="楷体"/>
          <w:b/>
          <w:bCs/>
          <w:color w:val="auto"/>
          <w:sz w:val="32"/>
          <w:szCs w:val="32"/>
          <w:highlight w:val="none"/>
        </w:rPr>
        <w:t>绩效评价原则、评价指标体系、评价方法、评价标准等。</w:t>
      </w:r>
    </w:p>
    <w:p w14:paraId="1F6CEF18">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1、绩效评价原则</w:t>
      </w:r>
    </w:p>
    <w:p w14:paraId="4CBBF969">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）科学公正</w:t>
      </w:r>
      <w:r>
        <w:rPr>
          <w:rFonts w:hint="eastAsia" w:ascii="仿宋_GB2312" w:hAnsi="仿宋_GB2312" w:eastAsia="仿宋_GB2312" w:cs="仿宋_GB2312"/>
          <w:color w:val="auto"/>
          <w:sz w:val="32"/>
          <w:szCs w:val="32"/>
          <w:highlight w:val="none"/>
          <w:lang w:val="en-US" w:eastAsia="zh-CN"/>
        </w:rPr>
        <w:t>、科学规范原则</w:t>
      </w:r>
      <w:r>
        <w:rPr>
          <w:rFonts w:hint="default" w:ascii="仿宋_GB2312" w:hAnsi="仿宋_GB2312" w:eastAsia="仿宋_GB2312" w:cs="仿宋_GB2312"/>
          <w:color w:val="auto"/>
          <w:sz w:val="32"/>
          <w:szCs w:val="32"/>
          <w:highlight w:val="none"/>
          <w:lang w:val="en-US" w:eastAsia="zh-CN"/>
        </w:rPr>
        <w:t>。绩效评价应当运用科学合理的方法，按照规范的程序，对项目绩效进行客观、公正的反映</w:t>
      </w:r>
      <w:r>
        <w:rPr>
          <w:rFonts w:hint="eastAsia" w:ascii="仿宋_GB2312" w:hAnsi="仿宋_GB2312" w:eastAsia="仿宋_GB2312" w:cs="仿宋_GB2312"/>
          <w:color w:val="auto"/>
          <w:sz w:val="32"/>
          <w:szCs w:val="32"/>
          <w:highlight w:val="none"/>
          <w:lang w:val="en-US" w:eastAsia="zh-CN"/>
        </w:rPr>
        <w:t>，按照科学可行的要求，采用定量与定性分析相结合的方法。</w:t>
      </w:r>
    </w:p>
    <w:p w14:paraId="70D40695">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分级分类原则</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我单位根据</w:t>
      </w:r>
      <w:r>
        <w:rPr>
          <w:rFonts w:hint="default" w:ascii="仿宋_GB2312" w:hAnsi="仿宋_GB2312" w:eastAsia="仿宋_GB2312" w:cs="仿宋_GB2312"/>
          <w:color w:val="auto"/>
          <w:sz w:val="32"/>
          <w:szCs w:val="32"/>
          <w:highlight w:val="none"/>
          <w:lang w:val="en-US" w:eastAsia="zh-CN"/>
        </w:rPr>
        <w:t>“谁支出、谁自评”</w:t>
      </w:r>
      <w:r>
        <w:rPr>
          <w:rFonts w:hint="eastAsia" w:ascii="仿宋_GB2312" w:hAnsi="仿宋_GB2312" w:eastAsia="仿宋_GB2312" w:cs="仿宋_GB2312"/>
          <w:color w:val="auto"/>
          <w:sz w:val="32"/>
          <w:szCs w:val="32"/>
          <w:highlight w:val="none"/>
          <w:lang w:val="en-US" w:eastAsia="zh-CN"/>
        </w:rPr>
        <w:t>的原则，根据评价对象的特点分类组织实施绩效</w:t>
      </w:r>
      <w:r>
        <w:rPr>
          <w:rFonts w:hint="default" w:ascii="仿宋_GB2312" w:hAnsi="仿宋_GB2312" w:eastAsia="仿宋_GB2312" w:cs="仿宋_GB2312"/>
          <w:color w:val="auto"/>
          <w:sz w:val="32"/>
          <w:szCs w:val="32"/>
          <w:highlight w:val="none"/>
          <w:lang w:val="en-US" w:eastAsia="zh-CN"/>
        </w:rPr>
        <w:t>评价</w:t>
      </w:r>
      <w:r>
        <w:rPr>
          <w:rFonts w:hint="eastAsia" w:ascii="仿宋_GB2312" w:hAnsi="仿宋_GB2312" w:eastAsia="仿宋_GB2312" w:cs="仿宋_GB2312"/>
          <w:color w:val="auto"/>
          <w:sz w:val="32"/>
          <w:szCs w:val="32"/>
          <w:highlight w:val="none"/>
          <w:lang w:val="en-US" w:eastAsia="zh-CN"/>
        </w:rPr>
        <w:t>工作，与相关单位</w:t>
      </w:r>
      <w:r>
        <w:rPr>
          <w:rFonts w:hint="default" w:ascii="仿宋_GB2312" w:hAnsi="仿宋_GB2312" w:eastAsia="仿宋_GB2312" w:cs="仿宋_GB2312"/>
          <w:color w:val="auto"/>
          <w:sz w:val="32"/>
          <w:szCs w:val="32"/>
          <w:highlight w:val="none"/>
          <w:lang w:val="en-US" w:eastAsia="zh-CN"/>
        </w:rPr>
        <w:t>职责明确，各有侧重，相互衔接。</w:t>
      </w:r>
    </w:p>
    <w:p w14:paraId="2F127828">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3</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绩效相关原则</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我单位绩效评价针对具体投入及其产出绩效进行，评价结果清晰反映了支出和产出绩效之间的紧密对应关系。</w:t>
      </w:r>
    </w:p>
    <w:p w14:paraId="29A1D865">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4</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公正</w:t>
      </w:r>
      <w:r>
        <w:rPr>
          <w:rFonts w:hint="default" w:ascii="仿宋_GB2312" w:hAnsi="仿宋_GB2312" w:eastAsia="仿宋_GB2312" w:cs="仿宋_GB2312"/>
          <w:color w:val="auto"/>
          <w:sz w:val="32"/>
          <w:szCs w:val="32"/>
          <w:highlight w:val="none"/>
          <w:lang w:val="en-US" w:eastAsia="zh-CN"/>
        </w:rPr>
        <w:t>公开</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透明</w:t>
      </w:r>
      <w:r>
        <w:rPr>
          <w:rFonts w:hint="eastAsia" w:ascii="仿宋_GB2312" w:hAnsi="仿宋_GB2312" w:eastAsia="仿宋_GB2312" w:cs="仿宋_GB2312"/>
          <w:color w:val="auto"/>
          <w:sz w:val="32"/>
          <w:szCs w:val="32"/>
          <w:highlight w:val="none"/>
          <w:lang w:val="en-US" w:eastAsia="zh-CN"/>
        </w:rPr>
        <w:t>原则</w:t>
      </w:r>
      <w:r>
        <w:rPr>
          <w:rFonts w:hint="default" w:ascii="仿宋_GB2312" w:hAnsi="仿宋_GB2312" w:eastAsia="仿宋_GB2312" w:cs="仿宋_GB2312"/>
          <w:color w:val="auto"/>
          <w:sz w:val="32"/>
          <w:szCs w:val="32"/>
          <w:highlight w:val="none"/>
          <w:lang w:val="en-US" w:eastAsia="zh-CN"/>
        </w:rPr>
        <w:t>。绩效评价结果</w:t>
      </w:r>
      <w:r>
        <w:rPr>
          <w:rFonts w:hint="eastAsia" w:ascii="仿宋_GB2312" w:hAnsi="仿宋_GB2312" w:eastAsia="仿宋_GB2312" w:cs="仿宋_GB2312"/>
          <w:color w:val="auto"/>
          <w:sz w:val="32"/>
          <w:szCs w:val="32"/>
          <w:highlight w:val="none"/>
          <w:lang w:val="en-US" w:eastAsia="zh-CN"/>
        </w:rPr>
        <w:t>应当符合真实、客观、公正的要求，</w:t>
      </w:r>
      <w:r>
        <w:rPr>
          <w:rFonts w:hint="default" w:ascii="仿宋_GB2312" w:hAnsi="仿宋_GB2312" w:eastAsia="仿宋_GB2312" w:cs="仿宋_GB2312"/>
          <w:color w:val="auto"/>
          <w:sz w:val="32"/>
          <w:szCs w:val="32"/>
          <w:highlight w:val="none"/>
          <w:lang w:val="en-US" w:eastAsia="zh-CN"/>
        </w:rPr>
        <w:t>依法依规公开，并自觉接受社会监督。</w:t>
      </w:r>
    </w:p>
    <w:p w14:paraId="60E5A8D6">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2、评价指标体系</w:t>
      </w:r>
    </w:p>
    <w:p w14:paraId="79A6F05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评价指标体系是建立财政支出评价的载体，财政支出效益必须通过评价指标予以体现。科学、完整的评价指标体系是取得正确评价结果的先决条件，因而指标体系的设计应体现完整性、科学性及易操作性等特点，坚持经济性、效率性和有效性兼顾的原则，按照评价目标和财政支出范围分层设置。</w:t>
      </w:r>
    </w:p>
    <w:p w14:paraId="14DFEEC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zh-TW" w:eastAsia="zh-TW"/>
        </w:rPr>
      </w:pP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val="zh-TW" w:eastAsia="zh-TW"/>
        </w:rPr>
        <w:t>财政支出绩效评价指标体系严格按照《项目支出绩效评价管理办法》（财预〔2020〕10号）文件要求设置，</w:t>
      </w:r>
      <w:r>
        <w:rPr>
          <w:rFonts w:hint="eastAsia" w:ascii="仿宋_GB2312" w:hAnsi="仿宋_GB2312" w:eastAsia="仿宋_GB2312" w:cs="仿宋_GB2312"/>
          <w:color w:val="auto"/>
          <w:sz w:val="32"/>
          <w:szCs w:val="32"/>
          <w:highlight w:val="none"/>
          <w:lang w:val="en-US" w:eastAsia="zh-CN"/>
        </w:rPr>
        <w:t>指标体系设置一级指标共</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en-US" w:eastAsia="zh-CN"/>
        </w:rPr>
        <w:t>个</w:t>
      </w:r>
      <w:r>
        <w:rPr>
          <w:rFonts w:hint="eastAsia" w:ascii="仿宋_GB2312" w:hAnsi="仿宋_GB2312" w:eastAsia="仿宋_GB2312" w:cs="仿宋_GB2312"/>
          <w:color w:val="auto"/>
          <w:sz w:val="32"/>
          <w:szCs w:val="32"/>
          <w:highlight w:val="none"/>
          <w:lang w:val="zh-TW" w:eastAsia="zh-TW"/>
        </w:rPr>
        <w:t>，包括决策</w:t>
      </w: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eastAsia="仿宋_GB2312" w:cs="仿宋_GB2312"/>
          <w:color w:val="auto"/>
          <w:sz w:val="32"/>
          <w:szCs w:val="32"/>
          <w:highlight w:val="none"/>
          <w:lang w:val="zh-TW" w:eastAsia="zh-TW"/>
        </w:rPr>
        <w:t>（2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TW" w:eastAsia="zh-TW"/>
        </w:rPr>
        <w:t>%）、</w:t>
      </w:r>
      <w:r>
        <w:rPr>
          <w:rFonts w:hint="eastAsia" w:ascii="仿宋_GB2312" w:hAnsi="仿宋_GB2312" w:eastAsia="仿宋_GB2312" w:cs="仿宋_GB2312"/>
          <w:color w:val="auto"/>
          <w:sz w:val="32"/>
          <w:szCs w:val="32"/>
          <w:highlight w:val="none"/>
          <w:lang w:val="en-US" w:eastAsia="zh-CN"/>
        </w:rPr>
        <w:t>过程指标</w:t>
      </w:r>
      <w:r>
        <w:rPr>
          <w:rFonts w:hint="eastAsia" w:ascii="仿宋_GB2312" w:hAnsi="仿宋_GB2312" w:eastAsia="仿宋_GB2312" w:cs="仿宋_GB2312"/>
          <w:color w:val="auto"/>
          <w:sz w:val="32"/>
          <w:szCs w:val="32"/>
          <w:highlight w:val="none"/>
          <w:lang w:val="zh-TW" w:eastAsia="zh-TW"/>
        </w:rPr>
        <w:t>（</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zh-TW" w:eastAsia="zh-TW"/>
        </w:rPr>
        <w:t>%）、</w:t>
      </w:r>
      <w:r>
        <w:rPr>
          <w:rFonts w:hint="eastAsia" w:ascii="仿宋_GB2312" w:hAnsi="仿宋_GB2312" w:eastAsia="仿宋_GB2312" w:cs="仿宋_GB2312"/>
          <w:color w:val="auto"/>
          <w:sz w:val="32"/>
          <w:szCs w:val="32"/>
          <w:highlight w:val="none"/>
          <w:lang w:val="en-US" w:eastAsia="zh-CN"/>
        </w:rPr>
        <w:t>产出指标（20%）、成本指标（10%）、效益指标（30%）五类</w:t>
      </w:r>
      <w:r>
        <w:rPr>
          <w:rFonts w:hint="eastAsia" w:ascii="仿宋_GB2312" w:hAnsi="仿宋_GB2312" w:eastAsia="仿宋_GB2312" w:cs="仿宋_GB2312"/>
          <w:color w:val="auto"/>
          <w:sz w:val="32"/>
          <w:szCs w:val="32"/>
          <w:highlight w:val="none"/>
          <w:lang w:val="zh-TW" w:eastAsia="zh-TW"/>
        </w:rPr>
        <w:t>指标；主要围绕资金使用、项目管理、资源配置等方面，客观分析项目的产出和效果，从而考察项目预算定额标准的合理性，进而提出完善意见。整个评价框架构成体现从投入、过程到产出、效果和影响的绩效逻辑路径。</w:t>
      </w:r>
    </w:p>
    <w:p w14:paraId="219806ED">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我单位经过一系列论证，从决策、过程、产出</w:t>
      </w:r>
      <w:r>
        <w:rPr>
          <w:rFonts w:hint="eastAsia" w:ascii="仿宋_GB2312" w:hAnsi="仿宋_GB2312" w:cs="仿宋_GB2312"/>
          <w:color w:val="auto"/>
          <w:sz w:val="32"/>
          <w:szCs w:val="32"/>
          <w:highlight w:val="none"/>
          <w:lang w:val="en-US" w:eastAsia="zh-CN"/>
        </w:rPr>
        <w:t>、成本和</w:t>
      </w:r>
      <w:r>
        <w:rPr>
          <w:rFonts w:hint="eastAsia" w:ascii="仿宋_GB2312" w:hAnsi="仿宋_GB2312" w:eastAsia="仿宋_GB2312" w:cs="仿宋_GB2312"/>
          <w:color w:val="auto"/>
          <w:sz w:val="32"/>
          <w:szCs w:val="32"/>
          <w:highlight w:val="none"/>
          <w:lang w:val="en-US" w:eastAsia="zh-CN"/>
        </w:rPr>
        <w:t>效果</w:t>
      </w:r>
      <w:r>
        <w:rPr>
          <w:rFonts w:hint="eastAsia" w:ascii="仿宋_GB2312" w:hAnsi="仿宋_GB2312" w:cs="仿宋_GB2312"/>
          <w:color w:val="auto"/>
          <w:sz w:val="32"/>
          <w:szCs w:val="32"/>
          <w:highlight w:val="none"/>
          <w:lang w:val="en-US" w:eastAsia="zh-CN"/>
        </w:rPr>
        <w:t>五</w:t>
      </w:r>
      <w:r>
        <w:rPr>
          <w:rFonts w:hint="eastAsia" w:ascii="仿宋_GB2312" w:hAnsi="仿宋_GB2312" w:eastAsia="仿宋_GB2312" w:cs="仿宋_GB2312"/>
          <w:color w:val="auto"/>
          <w:sz w:val="32"/>
          <w:szCs w:val="32"/>
          <w:highlight w:val="none"/>
          <w:lang w:val="en-US" w:eastAsia="zh-CN"/>
        </w:rPr>
        <w:t>个过程进行评价，涉及二级指标10个，三级指标17个，具体评价指标体系</w:t>
      </w:r>
      <w:r>
        <w:rPr>
          <w:rFonts w:hint="eastAsia" w:ascii="仿宋_GB2312" w:hAnsi="仿宋_GB2312" w:cs="仿宋_GB2312"/>
          <w:color w:val="auto"/>
          <w:sz w:val="32"/>
          <w:szCs w:val="32"/>
          <w:highlight w:val="none"/>
          <w:lang w:val="en-US" w:eastAsia="zh-CN"/>
        </w:rPr>
        <w:t>附表说明</w:t>
      </w:r>
      <w:r>
        <w:rPr>
          <w:rFonts w:hint="eastAsia" w:ascii="仿宋_GB2312" w:hAnsi="仿宋_GB2312" w:eastAsia="仿宋_GB2312" w:cs="仿宋_GB2312"/>
          <w:color w:val="auto"/>
          <w:sz w:val="32"/>
          <w:szCs w:val="32"/>
          <w:highlight w:val="none"/>
          <w:lang w:val="en-US" w:eastAsia="zh-CN"/>
        </w:rPr>
        <w:t>：</w:t>
      </w:r>
    </w:p>
    <w:p w14:paraId="592314A7">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sectPr>
          <w:pgSz w:w="11906" w:h="16838"/>
          <w:pgMar w:top="2098" w:right="1531" w:bottom="1984" w:left="1531" w:header="737" w:footer="851" w:gutter="0"/>
          <w:cols w:space="720" w:num="1"/>
          <w:docGrid w:type="lines" w:linePitch="408" w:charSpace="0"/>
        </w:sectPr>
      </w:pPr>
    </w:p>
    <w:p w14:paraId="0AE2879D">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3.评价方法</w:t>
      </w:r>
    </w:p>
    <w:p w14:paraId="2377445D">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成本效益分析法。是指将投入与产出、效益进行关联性分析的方法。 </w:t>
      </w:r>
    </w:p>
    <w:p w14:paraId="5376F874">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比较法。是指将实施情况与绩效目标、历史情况、不同部门和地区同类支出情况进行比较的方法。</w:t>
      </w:r>
    </w:p>
    <w:p w14:paraId="0E28E2AB">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最低成本法。是指在绩效目标确定的前提下，成本最小者为优的方法。</w:t>
      </w:r>
    </w:p>
    <w:p w14:paraId="4F54D990">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标杆管理法。是指以国内外同行业中较高的绩效水平为标杆进行评判的方法。</w:t>
      </w:r>
    </w:p>
    <w:p w14:paraId="3385F028">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结合本单位项目开展具体情况，我单位采用了比较法、成本效益分析法，通过着重</w:t>
      </w:r>
      <w:r>
        <w:rPr>
          <w:rFonts w:hint="default" w:ascii="仿宋_GB2312" w:hAnsi="仿宋_GB2312" w:eastAsia="仿宋_GB2312" w:cs="仿宋_GB2312"/>
          <w:color w:val="auto"/>
          <w:sz w:val="32"/>
          <w:szCs w:val="32"/>
          <w:highlight w:val="none"/>
          <w:lang w:val="en-US" w:eastAsia="zh-CN"/>
        </w:rPr>
        <w:t>比较项目的全部成本和效益来评估项目价值</w:t>
      </w:r>
      <w:r>
        <w:rPr>
          <w:rFonts w:hint="eastAsia" w:ascii="仿宋_GB2312" w:hAnsi="仿宋_GB2312" w:eastAsia="仿宋_GB2312" w:cs="仿宋_GB2312"/>
          <w:color w:val="auto"/>
          <w:sz w:val="32"/>
          <w:szCs w:val="32"/>
          <w:highlight w:val="none"/>
          <w:lang w:val="en-US" w:eastAsia="zh-CN"/>
        </w:rPr>
        <w:t>，确定三级指标得分情况。</w:t>
      </w:r>
    </w:p>
    <w:p w14:paraId="1025E5C7">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4、评价标准</w:t>
      </w:r>
    </w:p>
    <w:p w14:paraId="3C27256F">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绩效评价标准通常包括计划标准、行业标准、历史标准等，用于对绩效指标完成情况进行比较。</w:t>
      </w:r>
      <w:r>
        <w:rPr>
          <w:rFonts w:hint="eastAsia" w:ascii="仿宋_GB2312" w:hAnsi="仿宋_GB2312" w:eastAsia="仿宋_GB2312" w:cs="仿宋_GB2312"/>
          <w:color w:val="auto"/>
          <w:sz w:val="32"/>
          <w:szCs w:val="32"/>
          <w:highlight w:val="none"/>
          <w:lang w:val="en-US" w:eastAsia="zh-CN"/>
        </w:rPr>
        <w:t>我单位针对该项目采用的历史评价标准，参考近三年绩效指标平均值、上年值，</w:t>
      </w:r>
      <w:r>
        <w:rPr>
          <w:rFonts w:hint="default" w:ascii="仿宋_GB2312" w:hAnsi="仿宋_GB2312" w:eastAsia="仿宋_GB2312" w:cs="仿宋_GB2312"/>
          <w:color w:val="auto"/>
          <w:sz w:val="32"/>
          <w:szCs w:val="32"/>
          <w:highlight w:val="none"/>
          <w:lang w:val="en-US" w:eastAsia="zh-CN"/>
        </w:rPr>
        <w:t>对绩效指标完成情况进行</w:t>
      </w:r>
      <w:r>
        <w:rPr>
          <w:rFonts w:hint="eastAsia" w:ascii="仿宋_GB2312" w:hAnsi="仿宋_GB2312" w:eastAsia="仿宋_GB2312" w:cs="仿宋_GB2312"/>
          <w:color w:val="auto"/>
          <w:sz w:val="32"/>
          <w:szCs w:val="32"/>
          <w:highlight w:val="none"/>
          <w:lang w:val="en-US" w:eastAsia="zh-CN"/>
        </w:rPr>
        <w:t>评价</w:t>
      </w:r>
      <w:r>
        <w:rPr>
          <w:rFonts w:hint="default" w:ascii="仿宋_GB2312" w:hAnsi="仿宋_GB2312" w:eastAsia="仿宋_GB2312" w:cs="仿宋_GB2312"/>
          <w:color w:val="auto"/>
          <w:sz w:val="32"/>
          <w:szCs w:val="32"/>
          <w:highlight w:val="none"/>
          <w:lang w:val="en-US" w:eastAsia="zh-CN"/>
        </w:rPr>
        <w:t>。</w:t>
      </w:r>
    </w:p>
    <w:p w14:paraId="51C4DCAC">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5、其他相关依据文件及项目单位提供的其他佐证材料等</w:t>
      </w:r>
    </w:p>
    <w:p w14:paraId="2F5AB6E7">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依据上述评价标准，项目部门需提供的佐证材料为工作资料：部门总结、相关业务资料等。说明材料：针对无直接佐证材料或者综合性的内容，由相关单位、人员出具正式说明。</w:t>
      </w:r>
    </w:p>
    <w:p w14:paraId="700FF582">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br w:type="page"/>
      </w:r>
    </w:p>
    <w:p w14:paraId="6DE98FA2">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（三）绩效评价工作过程。</w:t>
      </w:r>
    </w:p>
    <w:p w14:paraId="12ACFFA5">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为了提高财政资金分配的科学性、有效性，加强财政专项资金管理，提高支出效益，我单位自项目下达之日高度重视，具体绩效评价工作过程如下:</w:t>
      </w:r>
    </w:p>
    <w:p w14:paraId="19937104">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1、确定绩效评价对象和范围</w:t>
      </w:r>
    </w:p>
    <w:p w14:paraId="630E38C1">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根据绩效评价工作重点及预算管理要求确定了绩效评价对象。我单位从产出、效果和满意度三个方面针对本项目进行评价，评价的范围包括项目具体的数量指标、质量指标、时效指标、成本指标、社会效益指标及满意度指标等。</w:t>
      </w:r>
    </w:p>
    <w:p w14:paraId="6CFA9B13">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2、收集绩效评价相关数据资料</w:t>
      </w:r>
    </w:p>
    <w:p w14:paraId="2659B222">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我单位根据需要采取要求相关部门提供资料，包括工作资料、部门总结、相关业务资料、原始凭证、合同、说明材料等。</w:t>
      </w:r>
    </w:p>
    <w:p w14:paraId="417E04FB">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3、与项目相关科室交换意见</w:t>
      </w:r>
    </w:p>
    <w:p w14:paraId="47999F44">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我单位绩效评价工作人员及时将绩效评价结果反馈到相关部门，并就绩效评价结果进行积极的沟通，进一步完善评价报告。</w:t>
      </w:r>
    </w:p>
    <w:p w14:paraId="251815AF">
      <w:pPr>
        <w:keepNext w:val="0"/>
        <w:keepLines w:val="0"/>
        <w:pageBreakBefore w:val="0"/>
        <w:widowControl w:val="0"/>
        <w:kinsoku/>
        <w:wordWrap/>
        <w:overflowPunct/>
        <w:topLinePunct w:val="0"/>
        <w:autoSpaceDE/>
        <w:autoSpaceDN/>
        <w:bidi w:val="0"/>
        <w:adjustRightInd/>
        <w:snapToGrid/>
        <w:spacing w:line="560" w:lineRule="exact"/>
        <w:ind w:leftChars="0" w:firstLine="643" w:firstLineChars="200"/>
        <w:jc w:val="lef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三、</w:t>
      </w:r>
      <w:r>
        <w:rPr>
          <w:rFonts w:hint="eastAsia" w:ascii="仿宋_GB2312" w:hAnsi="仿宋_GB2312" w:eastAsia="仿宋_GB2312" w:cs="仿宋_GB2312"/>
          <w:b/>
          <w:bCs/>
          <w:color w:val="auto"/>
          <w:sz w:val="32"/>
          <w:szCs w:val="32"/>
          <w:highlight w:val="none"/>
          <w:lang w:val="en-US" w:eastAsia="zh-CN"/>
        </w:rPr>
        <w:t>综合评价情况及评价结论</w:t>
      </w:r>
    </w:p>
    <w:p w14:paraId="31BB425D">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具有明确的目标，项目实施过程中严格按自治区及地区有关项目管理和经费管理规定执行，合理控制成本、使用资金。我单位领导团结一致，群策群力，明确项目执行计划、考核指标等事项，严格按照相关的管理制度和办法，组织人力、物力完成项目各阶段的任务。项目实施后惠及群众，效果较好。</w:t>
      </w:r>
    </w:p>
    <w:p w14:paraId="0FA96836">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经认真对照《项目支出绩效评价指标体系》，我单位体育赛事备战经费项目指标都较好地达到了相关要求，项目评价得分：100分，评价等级为：优。具体得分情况</w:t>
      </w:r>
      <w:r>
        <w:rPr>
          <w:rFonts w:hint="eastAsia" w:ascii="仿宋_GB2312" w:hAnsi="仿宋_GB2312" w:cs="仿宋_GB2312"/>
          <w:color w:val="auto"/>
          <w:sz w:val="32"/>
          <w:szCs w:val="32"/>
          <w:highlight w:val="none"/>
          <w:lang w:val="en-US" w:eastAsia="zh-CN"/>
        </w:rPr>
        <w:t>附表说明</w:t>
      </w:r>
      <w:r>
        <w:rPr>
          <w:rFonts w:hint="eastAsia" w:ascii="仿宋_GB2312" w:hAnsi="仿宋_GB2312" w:eastAsia="仿宋_GB2312" w:cs="仿宋_GB2312"/>
          <w:color w:val="auto"/>
          <w:sz w:val="32"/>
          <w:szCs w:val="32"/>
          <w:highlight w:val="none"/>
          <w:lang w:val="en-US" w:eastAsia="zh-CN"/>
        </w:rPr>
        <w:t>：</w:t>
      </w:r>
    </w:p>
    <w:p w14:paraId="54E65885">
      <w:pPr>
        <w:keepNext w:val="0"/>
        <w:keepLines w:val="0"/>
        <w:pageBreakBefore w:val="0"/>
        <w:widowControl w:val="0"/>
        <w:kinsoku/>
        <w:wordWrap/>
        <w:overflowPunct/>
        <w:topLinePunct w:val="0"/>
        <w:autoSpaceDE/>
        <w:autoSpaceDN/>
        <w:bidi w:val="0"/>
        <w:adjustRightInd/>
        <w:snapToGrid/>
        <w:spacing w:line="560" w:lineRule="exact"/>
        <w:ind w:leftChars="0" w:firstLine="643" w:firstLineChars="200"/>
        <w:jc w:val="lef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四、绩效评价指标分析</w:t>
      </w:r>
    </w:p>
    <w:p w14:paraId="1AC3B01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（一）项目决策分析</w:t>
      </w:r>
    </w:p>
    <w:p w14:paraId="6B62417F">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项目决策分析主要是对项目立项、绩效目标及资金投入进行分析。项目决策类指标由3个二级指标和6个三级指标构成，该项满分为20分，得分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14:paraId="658EB1B7">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1、项目立项分析（得分</w:t>
      </w:r>
      <w:r>
        <w:rPr>
          <w:rFonts w:hint="eastAsia" w:ascii="仿宋_GB2312"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en-US" w:eastAsia="zh-CN"/>
        </w:rPr>
        <w:t>分）</w:t>
      </w:r>
    </w:p>
    <w:p w14:paraId="0AE286AE">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（1）立项依据充分性（得分</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分）</w:t>
      </w:r>
    </w:p>
    <w:p w14:paraId="0F635143">
      <w:pPr>
        <w:pageBreakBefore w:val="0"/>
        <w:widowControl w:val="0"/>
        <w:kinsoku/>
        <w:wordWrap/>
        <w:overflowPunct/>
        <w:topLinePunct w:val="0"/>
        <w:autoSpaceDE/>
        <w:autoSpaceDN/>
        <w:bidi w:val="0"/>
        <w:adjustRightInd/>
        <w:snapToGrid/>
        <w:spacing w:line="560" w:lineRule="exact"/>
        <w:ind w:firstLine="567"/>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①项目立项依据是根据《中华人民共和国体育法》《新疆维吾尔自治区体育发展条例》《奥运争光计划纲要》</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符合国家法律法规和相关政策；</w:t>
      </w:r>
    </w:p>
    <w:p w14:paraId="282684D4">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②项目立项依据《新疆维吾尔自治区彩票公益金管理办法》（新财规﹝2021﹞14号），符合部门或行业发展规划和政策要求；</w:t>
      </w:r>
    </w:p>
    <w:p w14:paraId="5579DD82">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（2）立项程序规范性（得分</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分）</w:t>
      </w:r>
    </w:p>
    <w:p w14:paraId="0F2E7A64">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①项目按照规定的程序申请设立；</w:t>
      </w:r>
    </w:p>
    <w:p w14:paraId="0074A11F">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②审批文件、材料符合相关要求；以相关法律、法规、规章以及财政部有关文件等为依据，并收集足够的相关文件及资料，通过现场调研为评估结论提供充分的依据支持。</w:t>
      </w:r>
    </w:p>
    <w:p w14:paraId="32467EBD">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2、绩效目标分析（得分</w:t>
      </w:r>
      <w:r>
        <w:rPr>
          <w:rFonts w:hint="eastAsia" w:ascii="仿宋_GB2312" w:hAnsi="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lang w:val="en-US" w:eastAsia="zh-CN"/>
        </w:rPr>
        <w:t>分）</w:t>
      </w:r>
    </w:p>
    <w:p w14:paraId="33938157">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（1）绩效目标合理性（得分</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分）</w:t>
      </w:r>
    </w:p>
    <w:p w14:paraId="3A4F16A7">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项目设定绩效目标；项目设定一级指标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个，二级指标</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en-US" w:eastAsia="zh-CN"/>
        </w:rPr>
        <w:t>个，三级指标</w:t>
      </w:r>
      <w:r>
        <w:rPr>
          <w:rFonts w:hint="eastAsia" w:ascii="仿宋_GB2312" w:hAnsi="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val="en-US" w:eastAsia="zh-CN"/>
        </w:rPr>
        <w:t>个。项目绩效目标与实际工作内容具有相关性；项目预期产出效益和效果符合正常的业绩水平；与预算确定的项目投资额或资金量相匹配。</w:t>
      </w:r>
    </w:p>
    <w:p w14:paraId="7FD9723E">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绩效指标明确性（得分</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分）</w:t>
      </w:r>
    </w:p>
    <w:p w14:paraId="581063B8">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项目实施有明确的年度目标，且将绩效目标细化为一级指标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个，二级指标</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en-US" w:eastAsia="zh-CN"/>
        </w:rPr>
        <w:t>个，三级指标</w:t>
      </w:r>
      <w:r>
        <w:rPr>
          <w:rFonts w:hint="eastAsia" w:ascii="仿宋_GB2312" w:hAnsi="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val="en-US" w:eastAsia="zh-CN"/>
        </w:rPr>
        <w:t>个。</w:t>
      </w:r>
    </w:p>
    <w:p w14:paraId="5203EA41">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①将项目绩效目标细化分解为具体的绩效指标如下：</w:t>
      </w:r>
    </w:p>
    <w:p w14:paraId="375E2C8C">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数量指标</w:t>
      </w:r>
      <w:r>
        <w:rPr>
          <w:rFonts w:hint="eastAsia" w:ascii="仿宋_GB2312" w:hAnsi="仿宋_GB2312" w:eastAsia="仿宋_GB2312" w:cs="仿宋_GB2312"/>
          <w:color w:val="auto"/>
          <w:sz w:val="32"/>
          <w:szCs w:val="32"/>
          <w:highlight w:val="none"/>
          <w:lang w:val="en-US" w:eastAsia="zh-CN"/>
        </w:rPr>
        <w:t>：参加国内外竞赛场次&gt;=12场</w:t>
      </w:r>
      <w:r>
        <w:rPr>
          <w:rFonts w:hint="eastAsia" w:ascii="仿宋_GB2312" w:hAnsi="仿宋_GB2312" w:cs="仿宋_GB2312"/>
          <w:color w:val="auto"/>
          <w:sz w:val="32"/>
          <w:szCs w:val="32"/>
          <w:highlight w:val="none"/>
          <w:lang w:val="en-US" w:eastAsia="zh-CN"/>
        </w:rPr>
        <w:t>；购买运动器材、服装数量&gt;=1批；运动员赴其他省市（地州）训练人次&gt;=140人次；外聘教练员及运动员数量&gt;=29人；后备人才培养人数&gt;=310人；</w:t>
      </w:r>
    </w:p>
    <w:p w14:paraId="6DD9CCFF">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质量指标</w:t>
      </w:r>
      <w:r>
        <w:rPr>
          <w:rFonts w:hint="eastAsia" w:ascii="仿宋_GB2312" w:hAnsi="仿宋_GB2312" w:cs="仿宋_GB2312"/>
          <w:color w:val="auto"/>
          <w:sz w:val="32"/>
          <w:szCs w:val="32"/>
          <w:highlight w:val="none"/>
          <w:lang w:val="en-US" w:eastAsia="zh-CN"/>
        </w:rPr>
        <w:t>：器材、服装验收合格率&gt;=95%。</w:t>
      </w:r>
    </w:p>
    <w:p w14:paraId="27B1D37B">
      <w:pPr>
        <w:pStyle w:val="2"/>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color w:val="auto"/>
          <w:kern w:val="2"/>
          <w:sz w:val="32"/>
          <w:szCs w:val="32"/>
          <w:highlight w:val="none"/>
          <w:lang w:val="en-US" w:eastAsia="zh-CN" w:bidi="ar-SA"/>
        </w:rPr>
      </w:pPr>
      <w:r>
        <w:rPr>
          <w:rFonts w:hint="default" w:ascii="仿宋_GB2312" w:hAnsi="仿宋_GB2312" w:eastAsia="仿宋_GB2312" w:cs="仿宋_GB2312"/>
          <w:b w:val="0"/>
          <w:color w:val="auto"/>
          <w:kern w:val="2"/>
          <w:sz w:val="32"/>
          <w:szCs w:val="32"/>
          <w:highlight w:val="none"/>
          <w:lang w:val="en-US" w:eastAsia="zh-CN" w:bidi="ar-SA"/>
        </w:rPr>
        <w:t>时效指标</w:t>
      </w:r>
      <w:r>
        <w:rPr>
          <w:rFonts w:hint="eastAsia" w:ascii="仿宋_GB2312" w:hAnsi="仿宋_GB2312" w:eastAsia="仿宋_GB2312" w:cs="仿宋_GB2312"/>
          <w:b w:val="0"/>
          <w:color w:val="auto"/>
          <w:kern w:val="2"/>
          <w:sz w:val="32"/>
          <w:szCs w:val="32"/>
          <w:highlight w:val="none"/>
          <w:lang w:val="en-US" w:eastAsia="zh-CN" w:bidi="ar-SA"/>
        </w:rPr>
        <w:t>：运动队按时参赛率=100%。</w:t>
      </w:r>
    </w:p>
    <w:p w14:paraId="0FBA715C">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效益指标</w:t>
      </w:r>
      <w:r>
        <w:rPr>
          <w:rFonts w:hint="eastAsia" w:ascii="仿宋_GB2312" w:hAnsi="仿宋_GB2312" w:cs="仿宋_GB2312"/>
          <w:color w:val="auto"/>
          <w:sz w:val="32"/>
          <w:szCs w:val="32"/>
          <w:highlight w:val="none"/>
          <w:lang w:val="en-US" w:eastAsia="zh-CN"/>
        </w:rPr>
        <w:t>：取得奖牌数量&gt;=30个；输送国家队运动员人数&gt;=6人。</w:t>
      </w:r>
    </w:p>
    <w:p w14:paraId="252786F2">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服务对象满意度指标</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受益运动员满意度&gt;=90%。</w:t>
      </w:r>
    </w:p>
    <w:p w14:paraId="79E7E6BB">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②绩效指标通过清晰、可衡量的指标值予以体现；通过指标设定数与实际完成数对比，各项指标均已完成。</w:t>
      </w:r>
    </w:p>
    <w:p w14:paraId="110BA619">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③与项目目标任务数或计划数相对应。</w:t>
      </w:r>
    </w:p>
    <w:p w14:paraId="48FB4BBF">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3、资金投入分析（得分6分）</w:t>
      </w:r>
    </w:p>
    <w:p w14:paraId="41DBC01F">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预算编制科学性（得分3分）：本项目预算</w:t>
      </w:r>
      <w:r>
        <w:rPr>
          <w:rFonts w:hint="eastAsia" w:ascii="仿宋_GB2312" w:hAnsi="仿宋_GB2312" w:cs="仿宋_GB2312"/>
          <w:color w:val="auto"/>
          <w:sz w:val="32"/>
          <w:szCs w:val="32"/>
          <w:highlight w:val="none"/>
          <w:lang w:val="en-US" w:eastAsia="zh-CN"/>
        </w:rPr>
        <w:t>1143</w:t>
      </w:r>
      <w:r>
        <w:rPr>
          <w:rFonts w:hint="eastAsia" w:ascii="仿宋_GB2312" w:hAnsi="仿宋_GB2312" w:eastAsia="仿宋_GB2312" w:cs="仿宋_GB2312"/>
          <w:color w:val="auto"/>
          <w:sz w:val="32"/>
          <w:szCs w:val="32"/>
          <w:highlight w:val="none"/>
          <w:lang w:val="en-US" w:eastAsia="zh-CN"/>
        </w:rPr>
        <w:t>万元，项目预算内容与项目内容相匹配，预算确定的项目资金量与实际工作完成所需资金量基本相适应。</w:t>
      </w:r>
    </w:p>
    <w:p w14:paraId="3C694FCE">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资金分配合理性（得分3分）：预算资金分配依据充分；资金分配额度与实际工作完成所需资金量相适应。</w:t>
      </w:r>
    </w:p>
    <w:p w14:paraId="7D49317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default"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（二）过程情况分析</w:t>
      </w:r>
    </w:p>
    <w:p w14:paraId="59CE8A11">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项目过程指标由2个二级指标和5个三级指标构成，该项满分为20分，得分20分，得分率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%。项目建立了比较健全的配套资金管理制度，且在项目实施过程中能够按照管理执行。</w:t>
      </w:r>
    </w:p>
    <w:p w14:paraId="24EFE2B7">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1、资金管理分析（得分12分）</w:t>
      </w:r>
    </w:p>
    <w:p w14:paraId="6B8F8C1D">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（1）资金到位率（得分4分）</w:t>
      </w:r>
    </w:p>
    <w:p w14:paraId="6095C691">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资金到位率用以反映和考核资金落实情况对项目实施的总体保障程度。资金到位率=（实际到位资金/预算资金）×100%。本项目实际到位资金</w:t>
      </w:r>
      <w:r>
        <w:rPr>
          <w:rFonts w:hint="eastAsia" w:ascii="仿宋_GB2312" w:hAnsi="仿宋_GB2312" w:cs="仿宋_GB2312"/>
          <w:color w:val="auto"/>
          <w:sz w:val="32"/>
          <w:szCs w:val="32"/>
          <w:highlight w:val="none"/>
          <w:lang w:val="en-US" w:eastAsia="zh-CN"/>
        </w:rPr>
        <w:t>1143</w:t>
      </w:r>
      <w:r>
        <w:rPr>
          <w:rFonts w:hint="eastAsia" w:ascii="仿宋_GB2312" w:hAnsi="仿宋_GB2312" w:eastAsia="仿宋_GB2312" w:cs="仿宋_GB2312"/>
          <w:color w:val="auto"/>
          <w:sz w:val="32"/>
          <w:szCs w:val="32"/>
          <w:highlight w:val="none"/>
          <w:lang w:val="en-US" w:eastAsia="zh-CN"/>
        </w:rPr>
        <w:t>万元，预算资金</w:t>
      </w:r>
      <w:r>
        <w:rPr>
          <w:rFonts w:hint="eastAsia" w:ascii="仿宋_GB2312" w:hAnsi="仿宋_GB2312" w:cs="仿宋_GB2312"/>
          <w:color w:val="auto"/>
          <w:sz w:val="32"/>
          <w:szCs w:val="32"/>
          <w:highlight w:val="none"/>
          <w:lang w:val="en-US" w:eastAsia="zh-CN"/>
        </w:rPr>
        <w:t>1143</w:t>
      </w:r>
      <w:r>
        <w:rPr>
          <w:rFonts w:hint="eastAsia" w:ascii="仿宋_GB2312" w:hAnsi="仿宋_GB2312" w:eastAsia="仿宋_GB2312" w:cs="仿宋_GB2312"/>
          <w:color w:val="auto"/>
          <w:sz w:val="32"/>
          <w:szCs w:val="32"/>
          <w:highlight w:val="none"/>
          <w:lang w:val="en-US" w:eastAsia="zh-CN"/>
        </w:rPr>
        <w:t>万元，资金到位率100%。</w:t>
      </w:r>
    </w:p>
    <w:p w14:paraId="73B5E5B4">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（2）预算执行率（得分4分）</w:t>
      </w:r>
    </w:p>
    <w:p w14:paraId="20DC9C69">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预算执行率</w:t>
      </w:r>
      <w:r>
        <w:rPr>
          <w:rFonts w:hint="default" w:ascii="仿宋_GB2312" w:hAnsi="仿宋_GB2312" w:eastAsia="仿宋_GB2312" w:cs="仿宋_GB2312"/>
          <w:color w:val="auto"/>
          <w:sz w:val="32"/>
          <w:szCs w:val="32"/>
          <w:highlight w:val="none"/>
          <w:lang w:val="en-US" w:eastAsia="zh-CN"/>
        </w:rPr>
        <w:t>用以反映或考核项目预算执行情况。预算执行率=（实际支出资金/实际到位资金）×100%。</w:t>
      </w:r>
      <w:r>
        <w:rPr>
          <w:rFonts w:hint="eastAsia" w:ascii="仿宋_GB2312" w:hAnsi="仿宋_GB2312" w:eastAsia="仿宋_GB2312" w:cs="仿宋_GB2312"/>
          <w:color w:val="auto"/>
          <w:sz w:val="32"/>
          <w:szCs w:val="32"/>
          <w:highlight w:val="none"/>
          <w:lang w:val="en-US" w:eastAsia="zh-CN"/>
        </w:rPr>
        <w:t>本项目实际到位资金</w:t>
      </w:r>
      <w:r>
        <w:rPr>
          <w:rFonts w:hint="eastAsia" w:ascii="仿宋_GB2312" w:hAnsi="仿宋_GB2312" w:cs="仿宋_GB2312"/>
          <w:color w:val="auto"/>
          <w:sz w:val="32"/>
          <w:szCs w:val="32"/>
          <w:highlight w:val="none"/>
          <w:lang w:val="en-US" w:eastAsia="zh-CN"/>
        </w:rPr>
        <w:t>1143</w:t>
      </w:r>
      <w:r>
        <w:rPr>
          <w:rFonts w:hint="eastAsia" w:ascii="仿宋_GB2312" w:hAnsi="仿宋_GB2312" w:eastAsia="仿宋_GB2312" w:cs="仿宋_GB2312"/>
          <w:color w:val="auto"/>
          <w:sz w:val="32"/>
          <w:szCs w:val="32"/>
          <w:highlight w:val="none"/>
          <w:lang w:val="en-US" w:eastAsia="zh-CN"/>
        </w:rPr>
        <w:t>万元，</w:t>
      </w:r>
      <w:r>
        <w:rPr>
          <w:rFonts w:hint="default" w:ascii="仿宋_GB2312" w:hAnsi="仿宋_GB2312" w:eastAsia="仿宋_GB2312" w:cs="仿宋_GB2312"/>
          <w:color w:val="auto"/>
          <w:sz w:val="32"/>
          <w:szCs w:val="32"/>
          <w:highlight w:val="none"/>
          <w:lang w:val="en-US" w:eastAsia="zh-CN"/>
        </w:rPr>
        <w:t>实际支出资金</w:t>
      </w:r>
      <w:r>
        <w:rPr>
          <w:rFonts w:hint="eastAsia" w:ascii="仿宋_GB2312" w:hAnsi="仿宋_GB2312" w:cs="仿宋_GB2312"/>
          <w:color w:val="auto"/>
          <w:sz w:val="32"/>
          <w:szCs w:val="32"/>
          <w:highlight w:val="none"/>
          <w:lang w:val="en-US" w:eastAsia="zh-CN"/>
        </w:rPr>
        <w:t>1008.55</w:t>
      </w:r>
      <w:r>
        <w:rPr>
          <w:rFonts w:hint="eastAsia" w:ascii="仿宋_GB2312" w:hAnsi="仿宋_GB2312" w:eastAsia="仿宋_GB2312" w:cs="仿宋_GB2312"/>
          <w:color w:val="auto"/>
          <w:sz w:val="32"/>
          <w:szCs w:val="32"/>
          <w:highlight w:val="none"/>
          <w:lang w:val="en-US" w:eastAsia="zh-CN"/>
        </w:rPr>
        <w:t>万元，预算执行率88.24%。本项目任务已全部完成。</w:t>
      </w:r>
    </w:p>
    <w:p w14:paraId="0F6F54A4">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（3）资金使用合规性（得分4分）</w:t>
      </w:r>
    </w:p>
    <w:p w14:paraId="412157EC">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资金严格按照《关于印发&lt;自治区财政资金使用跟踪反馈管理暂行办法&gt;的通知》（新财预字[2016]113号）等相关专项资金、项目管理办法执行，按比例按资金用途使用，实行专款专用、严禁挤占挪用。确保资金安全、项目发挥效益。</w:t>
      </w:r>
      <w:r>
        <w:rPr>
          <w:rFonts w:hint="default" w:ascii="仿宋_GB2312" w:hAnsi="仿宋_GB2312" w:eastAsia="仿宋_GB2312" w:cs="仿宋_GB2312"/>
          <w:color w:val="auto"/>
          <w:sz w:val="32"/>
          <w:szCs w:val="32"/>
          <w:highlight w:val="none"/>
          <w:lang w:val="en-US" w:eastAsia="zh-CN"/>
        </w:rPr>
        <w:t>资金的拨付有完整的审批程序和手续；符合项目预算批复或合同规定的用途；</w:t>
      </w:r>
      <w:r>
        <w:rPr>
          <w:rFonts w:hint="eastAsia" w:ascii="仿宋_GB2312" w:hAnsi="仿宋_GB2312" w:eastAsia="仿宋_GB2312" w:cs="仿宋_GB2312"/>
          <w:color w:val="auto"/>
          <w:sz w:val="32"/>
          <w:szCs w:val="32"/>
          <w:highlight w:val="none"/>
          <w:lang w:val="en-US" w:eastAsia="zh-CN"/>
        </w:rPr>
        <w:t>不</w:t>
      </w:r>
      <w:r>
        <w:rPr>
          <w:rFonts w:hint="default" w:ascii="仿宋_GB2312" w:hAnsi="仿宋_GB2312" w:eastAsia="仿宋_GB2312" w:cs="仿宋_GB2312"/>
          <w:color w:val="auto"/>
          <w:sz w:val="32"/>
          <w:szCs w:val="32"/>
          <w:highlight w:val="none"/>
          <w:lang w:val="en-US" w:eastAsia="zh-CN"/>
        </w:rPr>
        <w:t>存在截留、挤占、挪用、虚列支出等情况</w:t>
      </w:r>
      <w:r>
        <w:rPr>
          <w:rFonts w:hint="eastAsia" w:ascii="仿宋_GB2312" w:hAnsi="仿宋_GB2312" w:eastAsia="仿宋_GB2312" w:cs="仿宋_GB2312"/>
          <w:color w:val="auto"/>
          <w:sz w:val="32"/>
          <w:szCs w:val="32"/>
          <w:highlight w:val="none"/>
          <w:lang w:val="en-US" w:eastAsia="zh-CN"/>
        </w:rPr>
        <w:t>。</w:t>
      </w:r>
    </w:p>
    <w:p w14:paraId="44A3FA4C">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2、组织实施分析（得分8分）</w:t>
      </w:r>
    </w:p>
    <w:p w14:paraId="35CC1C25">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（1）管理制度健全性（得分4分）</w:t>
      </w:r>
    </w:p>
    <w:p w14:paraId="0CB028BB">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资金严格按照《关于印发&lt;自治区财政资金使用跟踪反馈管理暂行办法&gt;的通知》（新财预字[2016]113号）等相关专项资金、项目管理办法执行，按比例按资金用途使用，实行专款专用、严禁挤占挪用。确保资金安全、项目发挥效益。资金的拨付有完整的审批程序和手续；符合项目预算批复或合同规定的用途；不存在截留、挤占、挪用、虚列支出等情况。</w:t>
      </w:r>
    </w:p>
    <w:p w14:paraId="22EE443C">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（2）制度执行有效性（得分4分）</w:t>
      </w:r>
    </w:p>
    <w:p w14:paraId="0D6B53D2">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资金严格按照根据《中华人民共和国预算法》，加强对项目资金的预算执行及日常监督管理，确保每个项目按照规定的用途实施。资金拨付坚持按项目、预算、进度、指定用途拨款，确保财政专项资金规范使用。</w:t>
      </w:r>
    </w:p>
    <w:p w14:paraId="47FC5DAD">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项目立项依据、实施方案、财务信息等资料齐全并及时归档；项目实施的人员条件、场地设备、信息支撑等落实到位。</w:t>
      </w:r>
    </w:p>
    <w:p w14:paraId="5D22E92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default"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（三）产出情况分析</w:t>
      </w:r>
    </w:p>
    <w:p w14:paraId="5C8415B8">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lang w:val="en-US" w:eastAsia="zh-CN"/>
        </w:rPr>
        <w:t>产出</w:t>
      </w:r>
      <w:r>
        <w:rPr>
          <w:rFonts w:hint="eastAsia" w:ascii="仿宋_GB2312" w:hAnsi="仿宋_GB2312" w:eastAsia="仿宋_GB2312" w:cs="仿宋_GB2312"/>
          <w:color w:val="auto"/>
          <w:sz w:val="32"/>
          <w:szCs w:val="32"/>
          <w:highlight w:val="none"/>
          <w:lang w:val="en-US" w:eastAsia="zh-CN"/>
        </w:rPr>
        <w:t>包括产出数量、产出质量</w:t>
      </w:r>
      <w:r>
        <w:rPr>
          <w:rFonts w:hint="eastAsia" w:ascii="仿宋_GB2312" w:hAnsi="仿宋_GB2312" w:cs="仿宋_GB2312"/>
          <w:color w:val="auto"/>
          <w:sz w:val="32"/>
          <w:szCs w:val="32"/>
          <w:highlight w:val="none"/>
          <w:lang w:val="en-US" w:eastAsia="zh-CN"/>
        </w:rPr>
        <w:t>和产出时效3</w:t>
      </w:r>
      <w:r>
        <w:rPr>
          <w:rFonts w:hint="eastAsia" w:ascii="仿宋_GB2312" w:hAnsi="仿宋_GB2312" w:eastAsia="仿宋_GB2312" w:cs="仿宋_GB2312"/>
          <w:color w:val="auto"/>
          <w:sz w:val="32"/>
          <w:szCs w:val="32"/>
          <w:highlight w:val="none"/>
          <w:lang w:val="en-US" w:eastAsia="zh-CN"/>
        </w:rPr>
        <w:t>个二级指标。该项满分为</w:t>
      </w:r>
      <w:r>
        <w:rPr>
          <w:rFonts w:hint="eastAsia" w:ascii="仿宋_GB2312" w:hAnsi="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val="en-US" w:eastAsia="zh-CN"/>
        </w:rPr>
        <w:t>分，得分</w:t>
      </w:r>
      <w:r>
        <w:rPr>
          <w:rFonts w:hint="eastAsia" w:ascii="仿宋_GB2312" w:hAnsi="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14:paraId="2BD98BB0">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en-US" w:eastAsia="zh-CN"/>
        </w:rPr>
        <w:t>产出数量分析（得分</w:t>
      </w:r>
      <w:r>
        <w:rPr>
          <w:rFonts w:hint="eastAsia" w:ascii="仿宋_GB2312" w:hAnsi="仿宋_GB2312" w:cs="仿宋_GB2312"/>
          <w:color w:val="auto"/>
          <w:sz w:val="32"/>
          <w:szCs w:val="32"/>
          <w:highlight w:val="none"/>
          <w:lang w:val="en-US" w:eastAsia="zh-CN"/>
        </w:rPr>
        <w:t>38</w:t>
      </w:r>
      <w:r>
        <w:rPr>
          <w:rFonts w:hint="eastAsia" w:ascii="仿宋_GB2312" w:hAnsi="仿宋_GB2312" w:eastAsia="仿宋_GB2312" w:cs="仿宋_GB2312"/>
          <w:color w:val="auto"/>
          <w:sz w:val="32"/>
          <w:szCs w:val="32"/>
          <w:highlight w:val="none"/>
          <w:lang w:val="en-US" w:eastAsia="zh-CN"/>
        </w:rPr>
        <w:t>分）</w:t>
      </w:r>
    </w:p>
    <w:p w14:paraId="23BA6CB1">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数量指标：指标1：参加国内外竞赛场次，指标值：&gt;=12场所，实际完成值12场，指标完成率100%。</w:t>
      </w:r>
    </w:p>
    <w:p w14:paraId="2528C0B6">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指标2：购买运动器材、服装数量，指标值：&gt;=1批，实际完成值1批，指标完成率100%。</w:t>
      </w:r>
    </w:p>
    <w:p w14:paraId="50D1C7FB">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指标3：运动员赴其他省市（地州）训练人次，指标值：&gt;=140人次，实际完成值142人次，指标完成率100%。</w:t>
      </w:r>
    </w:p>
    <w:p w14:paraId="6241A4BE">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指标4：外聘教练员及运动员数量，指标值：&gt;=29人，实际完成值29人，指标完成率100%。</w:t>
      </w:r>
    </w:p>
    <w:p w14:paraId="33C4CA54">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指标5：后备人才培养人数，指标值：&gt;=310人，实际完成值406人，指标完成率100%。</w:t>
      </w:r>
    </w:p>
    <w:p w14:paraId="00BD8BEA">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2、产出质量分析（得分7分）</w:t>
      </w:r>
    </w:p>
    <w:p w14:paraId="07BB5BBB">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质量指标：指标1：器材、服装验收合格率，指标值：&gt;=95%，实际完成值100%，指标完成率100%。</w:t>
      </w:r>
    </w:p>
    <w:p w14:paraId="3B8653CF">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3、产出时效分析（得分7分）</w:t>
      </w:r>
    </w:p>
    <w:p w14:paraId="1A401258">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b w:val="0"/>
          <w:color w:val="0000FF"/>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rPr>
        <w:t>时效指标：运动队按时参赛率，指标值：=100%，实际完成值100%，指标完成率100%。</w:t>
      </w:r>
    </w:p>
    <w:p w14:paraId="185D5D74">
      <w:pPr>
        <w:keepLines w:val="0"/>
        <w:pageBreakBefore w:val="0"/>
        <w:kinsoku/>
        <w:wordWrap/>
        <w:overflowPunct/>
        <w:topLinePunct w:val="0"/>
        <w:autoSpaceDE/>
        <w:autoSpaceDN/>
        <w:bidi w:val="0"/>
        <w:adjustRightInd/>
        <w:snapToGrid/>
        <w:spacing w:line="560" w:lineRule="exact"/>
        <w:ind w:left="0" w:right="0" w:rightChars="0" w:firstLine="643" w:firstLineChars="200"/>
        <w:textAlignment w:val="auto"/>
        <w:outlineLvl w:val="0"/>
        <w:rPr>
          <w:rFonts w:hint="eastAsia" w:ascii="仿宋" w:hAnsi="仿宋" w:eastAsia="仿宋" w:cs="仿宋"/>
          <w:b/>
          <w:bCs/>
          <w:sz w:val="32"/>
          <w:szCs w:val="32"/>
          <w:highlight w:val="none"/>
          <w:lang w:val="zh-TW" w:eastAsia="zh-TW"/>
        </w:rPr>
      </w:pPr>
      <w:r>
        <w:rPr>
          <w:rFonts w:hint="eastAsia" w:ascii="仿宋" w:hAnsi="仿宋" w:eastAsia="仿宋" w:cs="仿宋"/>
          <w:b/>
          <w:bCs/>
          <w:sz w:val="32"/>
          <w:szCs w:val="32"/>
          <w:highlight w:val="none"/>
          <w:lang w:val="zh-TW" w:eastAsia="zh-TW"/>
        </w:rPr>
        <w:t>（</w:t>
      </w:r>
      <w:r>
        <w:rPr>
          <w:rFonts w:hint="eastAsia" w:ascii="仿宋" w:hAnsi="仿宋" w:eastAsia="仿宋" w:cs="仿宋"/>
          <w:b/>
          <w:bCs/>
          <w:sz w:val="32"/>
          <w:szCs w:val="32"/>
          <w:highlight w:val="none"/>
          <w:lang w:val="en-US" w:eastAsia="zh-CN"/>
        </w:rPr>
        <w:t>四</w:t>
      </w:r>
      <w:r>
        <w:rPr>
          <w:rFonts w:hint="eastAsia" w:ascii="仿宋" w:hAnsi="仿宋" w:eastAsia="仿宋" w:cs="仿宋"/>
          <w:b/>
          <w:bCs/>
          <w:sz w:val="32"/>
          <w:szCs w:val="32"/>
          <w:highlight w:val="none"/>
          <w:lang w:val="zh-TW" w:eastAsia="zh-TW"/>
        </w:rPr>
        <w:t>）</w:t>
      </w:r>
      <w:r>
        <w:rPr>
          <w:rFonts w:hint="eastAsia" w:ascii="仿宋" w:hAnsi="仿宋" w:eastAsia="仿宋" w:cs="仿宋"/>
          <w:b/>
          <w:bCs/>
          <w:sz w:val="32"/>
          <w:szCs w:val="32"/>
          <w:highlight w:val="none"/>
          <w:lang w:val="en-US" w:eastAsia="zh-CN"/>
        </w:rPr>
        <w:t>成本</w:t>
      </w:r>
      <w:r>
        <w:rPr>
          <w:rFonts w:hint="eastAsia" w:ascii="仿宋" w:hAnsi="仿宋" w:eastAsia="仿宋" w:cs="仿宋"/>
          <w:b/>
          <w:bCs/>
          <w:sz w:val="32"/>
          <w:szCs w:val="32"/>
          <w:highlight w:val="none"/>
          <w:lang w:val="zh-TW" w:eastAsia="zh-TW"/>
        </w:rPr>
        <w:t>情况分析</w:t>
      </w:r>
    </w:p>
    <w:p w14:paraId="3F6F26D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zh-TW" w:eastAsia="zh-TW"/>
        </w:rPr>
      </w:pPr>
      <w:r>
        <w:rPr>
          <w:rFonts w:hint="eastAsia" w:ascii="仿宋_GB2312" w:hAnsi="仿宋_GB2312" w:eastAsia="仿宋_GB2312" w:cs="仿宋_GB2312"/>
          <w:color w:val="auto"/>
          <w:sz w:val="32"/>
          <w:szCs w:val="32"/>
          <w:highlight w:val="none"/>
          <w:lang w:val="zh-TW" w:eastAsia="zh-TW"/>
        </w:rPr>
        <w:t>项目</w:t>
      </w:r>
      <w:r>
        <w:rPr>
          <w:rFonts w:hint="eastAsia" w:ascii="仿宋_GB2312" w:hAnsi="仿宋_GB2312" w:eastAsia="仿宋_GB2312" w:cs="仿宋_GB2312"/>
          <w:color w:val="auto"/>
          <w:sz w:val="32"/>
          <w:szCs w:val="32"/>
          <w:highlight w:val="none"/>
          <w:lang w:val="en-US" w:eastAsia="zh-CN"/>
        </w:rPr>
        <w:t>成本共1个二级指标</w:t>
      </w:r>
      <w:r>
        <w:rPr>
          <w:rFonts w:hint="eastAsia" w:ascii="仿宋_GB2312" w:hAnsi="仿宋_GB2312" w:eastAsia="仿宋_GB2312" w:cs="仿宋_GB2312"/>
          <w:color w:val="auto"/>
          <w:sz w:val="32"/>
          <w:szCs w:val="32"/>
          <w:highlight w:val="none"/>
          <w:lang w:val="zh-TW" w:eastAsia="zh-TW"/>
        </w:rPr>
        <w:t>。该项满分为</w:t>
      </w:r>
      <w:r>
        <w:rPr>
          <w:rFonts w:hint="eastAsia" w:ascii="仿宋_GB2312" w:hAnsi="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TW" w:eastAsia="zh-TW"/>
        </w:rPr>
        <w:t>分，得分</w:t>
      </w:r>
      <w:r>
        <w:rPr>
          <w:rFonts w:hint="eastAsia" w:ascii="仿宋_GB2312" w:hAnsi="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TW" w:eastAsia="zh-TW"/>
        </w:rPr>
        <w:t>分，得分率</w:t>
      </w:r>
      <w:r>
        <w:rPr>
          <w:rFonts w:hint="eastAsia" w:ascii="仿宋_GB2312" w:hAnsi="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TW" w:eastAsia="zh-TW"/>
        </w:rPr>
        <w:t>%。</w:t>
      </w:r>
    </w:p>
    <w:p w14:paraId="4C94454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1、成本指标分析（得分</w:t>
      </w:r>
      <w:r>
        <w:rPr>
          <w:rFonts w:hint="eastAsia" w:ascii="仿宋_GB2312" w:hAnsi="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en-US" w:eastAsia="zh-CN"/>
        </w:rPr>
        <w:t>分）</w:t>
      </w:r>
    </w:p>
    <w:p w14:paraId="7835681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经济成本指标：无此项指标。</w:t>
      </w:r>
    </w:p>
    <w:p w14:paraId="3200B4F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社会成本指标：无此项指标。</w:t>
      </w:r>
    </w:p>
    <w:p w14:paraId="29A80B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生态环境成本指标：无此项指标。</w:t>
      </w:r>
    </w:p>
    <w:p w14:paraId="059DA66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eastAsia" w:ascii="仿宋" w:hAnsi="仿宋" w:eastAsia="仿宋" w:cs="仿宋"/>
          <w:b/>
          <w:bCs/>
          <w:sz w:val="32"/>
          <w:szCs w:val="32"/>
          <w:highlight w:val="none"/>
          <w:lang w:val="zh-TW" w:eastAsia="zh-CN"/>
        </w:rPr>
      </w:pPr>
      <w:r>
        <w:rPr>
          <w:rFonts w:hint="eastAsia" w:ascii="仿宋" w:hAnsi="仿宋" w:eastAsia="仿宋" w:cs="仿宋"/>
          <w:b/>
          <w:bCs/>
          <w:sz w:val="32"/>
          <w:szCs w:val="32"/>
          <w:highlight w:val="none"/>
          <w:lang w:val="zh-TW" w:eastAsia="zh-CN"/>
        </w:rPr>
        <w:t>（</w:t>
      </w:r>
      <w:r>
        <w:rPr>
          <w:rFonts w:hint="eastAsia" w:ascii="仿宋" w:hAnsi="仿宋" w:eastAsia="仿宋" w:cs="仿宋"/>
          <w:b/>
          <w:bCs/>
          <w:sz w:val="32"/>
          <w:szCs w:val="32"/>
          <w:highlight w:val="none"/>
          <w:lang w:val="en-US" w:eastAsia="zh-CN"/>
        </w:rPr>
        <w:t>五）</w:t>
      </w:r>
      <w:r>
        <w:rPr>
          <w:rFonts w:hint="eastAsia" w:ascii="仿宋" w:hAnsi="仿宋" w:eastAsia="仿宋" w:cs="仿宋"/>
          <w:b/>
          <w:bCs/>
          <w:sz w:val="32"/>
          <w:szCs w:val="32"/>
          <w:highlight w:val="none"/>
          <w:lang w:val="zh-TW" w:eastAsia="zh-CN"/>
        </w:rPr>
        <w:t>项目效益情况</w:t>
      </w:r>
    </w:p>
    <w:p w14:paraId="1FC186B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lang w:val="en-US" w:eastAsia="zh-CN"/>
        </w:rPr>
        <w:t>效益</w:t>
      </w:r>
      <w:r>
        <w:rPr>
          <w:rFonts w:hint="eastAsia" w:ascii="仿宋_GB2312" w:hAnsi="仿宋_GB2312" w:eastAsia="仿宋_GB2312" w:cs="仿宋_GB2312"/>
          <w:color w:val="auto"/>
          <w:sz w:val="32"/>
          <w:szCs w:val="32"/>
          <w:highlight w:val="none"/>
          <w:lang w:val="en-US" w:eastAsia="zh-CN"/>
        </w:rPr>
        <w:t>包括</w:t>
      </w:r>
      <w:r>
        <w:rPr>
          <w:rFonts w:hint="eastAsia" w:ascii="仿宋_GB2312" w:hAnsi="仿宋_GB2312" w:cs="仿宋_GB2312"/>
          <w:color w:val="auto"/>
          <w:sz w:val="32"/>
          <w:szCs w:val="32"/>
          <w:highlight w:val="none"/>
          <w:lang w:val="en-US" w:eastAsia="zh-CN"/>
        </w:rPr>
        <w:t>社会效益和</w:t>
      </w:r>
      <w:r>
        <w:rPr>
          <w:rFonts w:hint="eastAsia" w:ascii="仿宋_GB2312" w:hAnsi="仿宋_GB2312" w:eastAsia="仿宋_GB2312" w:cs="仿宋_GB2312"/>
          <w:color w:val="auto"/>
          <w:sz w:val="32"/>
          <w:szCs w:val="32"/>
          <w:highlight w:val="none"/>
          <w:lang w:val="en-US" w:eastAsia="zh-CN"/>
        </w:rPr>
        <w:t>满意度</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个</w:t>
      </w:r>
      <w:r>
        <w:rPr>
          <w:rFonts w:hint="eastAsia" w:ascii="仿宋_GB2312" w:hAnsi="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val="en-US" w:eastAsia="zh-CN"/>
        </w:rPr>
        <w:t>级指标。该项满分为</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0 分，得分</w:t>
      </w:r>
      <w:r>
        <w:rPr>
          <w:rFonts w:hint="eastAsia" w:ascii="仿宋_GB2312" w:hAnsi="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　</w:t>
      </w:r>
      <w:r>
        <w:rPr>
          <w:rFonts w:hint="eastAsia" w:ascii="仿宋_GB2312" w:hAnsi="仿宋_GB2312" w:eastAsia="仿宋_GB2312" w:cs="仿宋_GB2312"/>
          <w:color w:val="auto"/>
          <w:sz w:val="32"/>
          <w:szCs w:val="32"/>
          <w:highlight w:val="none"/>
          <w:lang w:val="en-US" w:eastAsia="zh-CN"/>
        </w:rPr>
        <w:tab/>
      </w:r>
    </w:p>
    <w:p w14:paraId="00D0AC34">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实施效益（得分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w:t>
      </w:r>
    </w:p>
    <w:p w14:paraId="6054040F">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lang w:eastAsia="zh-CN"/>
        </w:rPr>
      </w:pPr>
      <w:r>
        <w:rPr>
          <w:rFonts w:hint="eastAsia" w:ascii="仿宋_GB2312" w:hAnsi="仿宋_GB2312" w:eastAsia="仿宋_GB2312" w:cs="仿宋_GB2312"/>
          <w:color w:val="auto"/>
          <w:sz w:val="32"/>
          <w:szCs w:val="32"/>
          <w:highlight w:val="none"/>
          <w:lang w:val="en-US" w:eastAsia="zh-CN"/>
        </w:rPr>
        <w:t>经济效益指标：无此项指标。</w:t>
      </w:r>
    </w:p>
    <w:p w14:paraId="5495CC89">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社会效益指标：</w:t>
      </w:r>
      <w:r>
        <w:rPr>
          <w:rFonts w:hint="eastAsia" w:ascii="仿宋_GB2312" w:hAnsi="仿宋_GB2312" w:cs="仿宋_GB2312"/>
          <w:color w:val="auto"/>
          <w:sz w:val="32"/>
          <w:szCs w:val="32"/>
          <w:highlight w:val="none"/>
          <w:lang w:val="en-US" w:eastAsia="zh-CN"/>
        </w:rPr>
        <w:t>指标1：</w:t>
      </w:r>
      <w:r>
        <w:rPr>
          <w:rFonts w:hint="eastAsia" w:ascii="仿宋_GB2312" w:hAnsi="仿宋_GB2312" w:eastAsia="仿宋_GB2312" w:cs="仿宋_GB2312"/>
          <w:color w:val="auto"/>
          <w:sz w:val="32"/>
          <w:szCs w:val="32"/>
          <w:highlight w:val="none"/>
          <w:lang w:val="en-US" w:eastAsia="zh-CN"/>
        </w:rPr>
        <w:t>取得奖牌数量</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指标值：&gt;=30个</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实际完成值</w:t>
      </w:r>
      <w:r>
        <w:rPr>
          <w:rFonts w:hint="eastAsia" w:ascii="仿宋_GB2312" w:hAnsi="仿宋_GB2312" w:cs="仿宋_GB2312"/>
          <w:color w:val="auto"/>
          <w:sz w:val="32"/>
          <w:szCs w:val="32"/>
          <w:highlight w:val="none"/>
          <w:lang w:val="en-US" w:eastAsia="zh-CN"/>
        </w:rPr>
        <w:t>40个</w:t>
      </w:r>
      <w:r>
        <w:rPr>
          <w:rFonts w:hint="eastAsia" w:ascii="仿宋_GB2312" w:hAnsi="仿宋_GB2312" w:eastAsia="仿宋_GB2312" w:cs="仿宋_GB2312"/>
          <w:color w:val="auto"/>
          <w:sz w:val="32"/>
          <w:szCs w:val="32"/>
          <w:highlight w:val="none"/>
          <w:lang w:val="en-US" w:eastAsia="zh-CN"/>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w:t>
      </w:r>
    </w:p>
    <w:p w14:paraId="3E87A470">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指标2：输送国家队运动员人数，</w:t>
      </w:r>
      <w:r>
        <w:rPr>
          <w:rFonts w:hint="eastAsia" w:ascii="仿宋_GB2312" w:hAnsi="仿宋_GB2312" w:eastAsia="仿宋_GB2312" w:cs="仿宋_GB2312"/>
          <w:color w:val="auto"/>
          <w:sz w:val="32"/>
          <w:szCs w:val="32"/>
          <w:highlight w:val="none"/>
          <w:lang w:val="en-US" w:eastAsia="zh-CN"/>
        </w:rPr>
        <w:t>指标值：</w:t>
      </w:r>
      <w:r>
        <w:rPr>
          <w:rFonts w:hint="eastAsia" w:ascii="仿宋_GB2312" w:hAnsi="仿宋_GB2312" w:cs="仿宋_GB2312"/>
          <w:color w:val="auto"/>
          <w:sz w:val="32"/>
          <w:szCs w:val="32"/>
          <w:highlight w:val="none"/>
          <w:lang w:val="en-US" w:eastAsia="zh-CN"/>
        </w:rPr>
        <w:t>&gt;=6人，</w:t>
      </w:r>
      <w:r>
        <w:rPr>
          <w:rFonts w:hint="eastAsia" w:ascii="仿宋_GB2312" w:hAnsi="仿宋_GB2312" w:eastAsia="仿宋_GB2312" w:cs="仿宋_GB2312"/>
          <w:color w:val="auto"/>
          <w:sz w:val="32"/>
          <w:szCs w:val="32"/>
          <w:highlight w:val="none"/>
          <w:lang w:val="en-US" w:eastAsia="zh-CN"/>
        </w:rPr>
        <w:t>实际完成值</w:t>
      </w:r>
      <w:r>
        <w:rPr>
          <w:rFonts w:hint="eastAsia" w:ascii="仿宋_GB2312" w:hAnsi="仿宋_GB2312" w:cs="仿宋_GB2312"/>
          <w:color w:val="auto"/>
          <w:sz w:val="32"/>
          <w:szCs w:val="32"/>
          <w:highlight w:val="none"/>
          <w:lang w:val="en-US" w:eastAsia="zh-CN"/>
        </w:rPr>
        <w:t>6人</w:t>
      </w:r>
      <w:r>
        <w:rPr>
          <w:rFonts w:hint="eastAsia" w:ascii="仿宋_GB2312" w:hAnsi="仿宋_GB2312" w:eastAsia="仿宋_GB2312" w:cs="仿宋_GB2312"/>
          <w:color w:val="auto"/>
          <w:sz w:val="32"/>
          <w:szCs w:val="32"/>
          <w:highlight w:val="none"/>
          <w:lang w:val="en-US" w:eastAsia="zh-CN"/>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w:t>
      </w:r>
      <w:bookmarkStart w:id="0" w:name="_GoBack"/>
      <w:bookmarkEnd w:id="0"/>
    </w:p>
    <w:p w14:paraId="7162B194">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生态效益指标：无此项指标。</w:t>
      </w:r>
    </w:p>
    <w:p w14:paraId="39814AA8">
      <w:pPr>
        <w:pStyle w:val="7"/>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可持续影响指标：无此项指标</w:t>
      </w:r>
      <w:r>
        <w:rPr>
          <w:rFonts w:hint="eastAsia" w:ascii="仿宋_GB2312" w:hAnsi="仿宋_GB2312" w:cs="仿宋_GB2312"/>
          <w:color w:val="auto"/>
          <w:sz w:val="32"/>
          <w:szCs w:val="32"/>
          <w:highlight w:val="none"/>
          <w:lang w:val="en-US" w:eastAsia="zh-CN"/>
        </w:rPr>
        <w:t>。</w:t>
      </w:r>
    </w:p>
    <w:p w14:paraId="1F159E1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2、满意度（得分</w:t>
      </w:r>
      <w:r>
        <w:rPr>
          <w:rFonts w:hint="eastAsia" w:ascii="仿宋_GB2312" w:hAnsi="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val="en-US" w:eastAsia="zh-CN"/>
        </w:rPr>
        <w:t>分）</w:t>
      </w:r>
    </w:p>
    <w:p w14:paraId="787BE54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满意度指标：指标：</w:t>
      </w:r>
      <w:r>
        <w:rPr>
          <w:rFonts w:hint="eastAsia" w:ascii="仿宋_GB2312" w:hAnsi="仿宋_GB2312" w:cs="仿宋_GB2312"/>
          <w:color w:val="auto"/>
          <w:sz w:val="32"/>
          <w:szCs w:val="32"/>
          <w:highlight w:val="none"/>
          <w:lang w:val="en-US" w:eastAsia="zh-CN"/>
        </w:rPr>
        <w:t>受益运动员满意度</w:t>
      </w:r>
      <w:r>
        <w:rPr>
          <w:rFonts w:hint="eastAsia" w:ascii="仿宋_GB2312" w:hAnsi="仿宋_GB2312" w:eastAsia="仿宋_GB2312" w:cs="仿宋_GB2312"/>
          <w:color w:val="auto"/>
          <w:sz w:val="32"/>
          <w:szCs w:val="32"/>
          <w:highlight w:val="none"/>
          <w:lang w:val="en-US" w:eastAsia="zh-CN"/>
        </w:rPr>
        <w:t>，指标值：</w:t>
      </w:r>
      <w:r>
        <w:rPr>
          <w:rFonts w:hint="eastAsia" w:ascii="仿宋_GB2312" w:hAnsi="仿宋_GB2312" w:cs="仿宋_GB2312"/>
          <w:color w:val="auto"/>
          <w:sz w:val="32"/>
          <w:szCs w:val="32"/>
          <w:highlight w:val="none"/>
          <w:lang w:val="en-US" w:eastAsia="zh-CN"/>
        </w:rPr>
        <w:t>&gt;=90%</w:t>
      </w:r>
      <w:r>
        <w:rPr>
          <w:rFonts w:hint="eastAsia" w:ascii="仿宋_GB2312" w:hAnsi="仿宋_GB2312" w:eastAsia="仿宋_GB2312" w:cs="仿宋_GB2312"/>
          <w:color w:val="auto"/>
          <w:sz w:val="32"/>
          <w:szCs w:val="32"/>
          <w:highlight w:val="none"/>
          <w:lang w:val="en-US" w:eastAsia="zh-CN"/>
        </w:rPr>
        <w:t>，实际完成值</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14:paraId="1EEF29A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00" w:firstLineChars="200"/>
        <w:textAlignment w:val="auto"/>
        <w:rPr>
          <w:rFonts w:hint="eastAsia" w:ascii="黑体" w:hAnsi="黑体" w:eastAsia="黑体"/>
          <w:highlight w:val="none"/>
        </w:rPr>
      </w:pPr>
      <w:r>
        <w:rPr>
          <w:rFonts w:hint="eastAsia" w:ascii="黑体" w:hAnsi="黑体" w:eastAsia="黑体"/>
          <w:highlight w:val="none"/>
          <w:lang w:val="en-US" w:eastAsia="zh-CN"/>
        </w:rPr>
        <w:t>五、</w:t>
      </w:r>
      <w:r>
        <w:rPr>
          <w:rFonts w:hint="eastAsia" w:ascii="黑体" w:hAnsi="黑体" w:eastAsia="黑体"/>
          <w:highlight w:val="none"/>
        </w:rPr>
        <w:t>主要经验及做法、存在的问题及原因分析</w:t>
      </w:r>
    </w:p>
    <w:p w14:paraId="3DAF8DAA">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outlineLvl w:val="0"/>
        <w:rPr>
          <w:rFonts w:hint="eastAsia"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1、主要经验及做法</w:t>
      </w:r>
    </w:p>
    <w:p w14:paraId="43180A72">
      <w:pPr>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kern w:val="2"/>
          <w:sz w:val="32"/>
          <w:szCs w:val="32"/>
          <w:highlight w:val="none"/>
          <w:lang w:bidi="ar-SA"/>
        </w:rPr>
      </w:pPr>
      <w:r>
        <w:rPr>
          <w:rFonts w:hint="eastAsia" w:ascii="仿宋_GB2312" w:hAnsi="仿宋_GB2312" w:eastAsia="仿宋_GB2312" w:cs="仿宋_GB2312"/>
          <w:color w:val="auto"/>
          <w:kern w:val="2"/>
          <w:sz w:val="32"/>
          <w:szCs w:val="32"/>
          <w:highlight w:val="none"/>
          <w:lang w:bidi="ar-SA"/>
        </w:rPr>
        <w:t>狠抓项目管理工作，坚持项目跟随规划走、资金跟随项目走的原则。不随意调整项目。加快项目实施，落实项目措施，及时拨付项目资金。根据业务流程，参考经费使用情况，配备充足的人力、物力，资金使用方面，严格执行支付管理制度，确保经费专款专用，合理合规加强学习。进一步明确如何参照考核体系，科学合理设定绩效目标，充分发挥预算绩效管理工作效用。财务上，会计核算要更加详细，为本单位各项工作的开展、总结、评估提供有效数据资料支撑,为各项业务工作更好的开展提供帮助。</w:t>
      </w:r>
    </w:p>
    <w:p w14:paraId="21174E1D">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outlineLvl w:val="0"/>
        <w:rPr>
          <w:rFonts w:hint="eastAsia"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2、存在的问题</w:t>
      </w:r>
    </w:p>
    <w:p w14:paraId="0A5E47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kern w:val="2"/>
          <w:sz w:val="32"/>
          <w:szCs w:val="32"/>
          <w:highlight w:val="none"/>
          <w:lang w:bidi="ar-SA"/>
        </w:rPr>
      </w:pPr>
      <w:r>
        <w:rPr>
          <w:rFonts w:hint="eastAsia" w:ascii="仿宋_GB2312" w:hAnsi="仿宋_GB2312" w:eastAsia="仿宋_GB2312" w:cs="仿宋_GB2312"/>
          <w:color w:val="auto"/>
          <w:kern w:val="2"/>
          <w:sz w:val="32"/>
          <w:szCs w:val="32"/>
          <w:highlight w:val="none"/>
          <w:lang w:bidi="ar-SA"/>
        </w:rPr>
        <w:t xml:space="preserve"> </w:t>
      </w:r>
      <w:r>
        <w:rPr>
          <w:rFonts w:hint="eastAsia" w:ascii="仿宋_GB2312" w:hAnsi="仿宋_GB2312" w:cs="仿宋_GB2312"/>
          <w:color w:val="auto"/>
          <w:kern w:val="2"/>
          <w:sz w:val="32"/>
          <w:szCs w:val="32"/>
          <w:highlight w:val="none"/>
          <w:lang w:eastAsia="zh-CN" w:bidi="ar-SA"/>
        </w:rPr>
        <w:t>一是</w:t>
      </w:r>
      <w:r>
        <w:rPr>
          <w:rFonts w:hint="eastAsia" w:ascii="仿宋_GB2312" w:hAnsi="仿宋_GB2312" w:eastAsia="仿宋_GB2312" w:cs="仿宋_GB2312"/>
          <w:color w:val="auto"/>
          <w:kern w:val="2"/>
          <w:sz w:val="32"/>
          <w:szCs w:val="32"/>
          <w:highlight w:val="none"/>
          <w:lang w:bidi="ar-SA"/>
        </w:rPr>
        <w:t>预算执行精细化管控仍有提升空间，资金使用节奏需进一步优化</w:t>
      </w:r>
      <w:r>
        <w:rPr>
          <w:rFonts w:hint="eastAsia" w:ascii="仿宋_GB2312" w:hAnsi="仿宋_GB2312" w:cs="仿宋_GB2312"/>
          <w:color w:val="auto"/>
          <w:kern w:val="2"/>
          <w:sz w:val="32"/>
          <w:szCs w:val="32"/>
          <w:highlight w:val="none"/>
          <w:lang w:eastAsia="zh-CN" w:bidi="ar-SA"/>
        </w:rPr>
        <w:t>。</w:t>
      </w:r>
      <w:r>
        <w:rPr>
          <w:rFonts w:hint="eastAsia" w:ascii="仿宋_GB2312" w:hAnsi="仿宋_GB2312" w:eastAsia="仿宋_GB2312" w:cs="仿宋_GB2312"/>
          <w:color w:val="auto"/>
          <w:kern w:val="2"/>
          <w:sz w:val="32"/>
          <w:szCs w:val="32"/>
          <w:highlight w:val="none"/>
          <w:lang w:bidi="ar-SA"/>
        </w:rPr>
        <w:t>尽管项目预算执行率达到88.24%，但部分经费支出环节仍存在进度把控不够精准的问题，个别科目资金支付与备战工作实际进度存在小幅偏差；究其原因，是预算执行动态监控机制不够完善，对各业务科室经费使用进度的常态化跟踪、预警不足，同时部分业务科室对预算执行的计划性不强，导致资金使用节奏未能与备战训练、赛事安排等工作实现完全同步。</w:t>
      </w:r>
    </w:p>
    <w:p w14:paraId="029CCC6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kern w:val="2"/>
          <w:sz w:val="32"/>
          <w:szCs w:val="32"/>
          <w:highlight w:val="none"/>
          <w:lang w:bidi="ar-SA"/>
        </w:rPr>
      </w:pPr>
      <w:r>
        <w:rPr>
          <w:rFonts w:hint="eastAsia" w:ascii="仿宋_GB2312" w:hAnsi="仿宋_GB2312" w:cs="仿宋_GB2312"/>
          <w:color w:val="auto"/>
          <w:kern w:val="2"/>
          <w:sz w:val="32"/>
          <w:szCs w:val="32"/>
          <w:highlight w:val="none"/>
          <w:lang w:eastAsia="zh-CN" w:bidi="ar-SA"/>
        </w:rPr>
        <w:t>二是</w:t>
      </w:r>
      <w:r>
        <w:rPr>
          <w:rFonts w:hint="eastAsia" w:ascii="仿宋_GB2312" w:hAnsi="仿宋_GB2312" w:eastAsia="仿宋_GB2312" w:cs="仿宋_GB2312"/>
          <w:color w:val="auto"/>
          <w:kern w:val="2"/>
          <w:sz w:val="32"/>
          <w:szCs w:val="32"/>
          <w:highlight w:val="none"/>
          <w:lang w:bidi="ar-SA"/>
        </w:rPr>
        <w:t>后备人才培养经费投入的针对性和精细化配置有待加强</w:t>
      </w:r>
      <w:r>
        <w:rPr>
          <w:rFonts w:hint="eastAsia" w:ascii="仿宋_GB2312" w:hAnsi="仿宋_GB2312" w:cs="仿宋_GB2312"/>
          <w:color w:val="auto"/>
          <w:kern w:val="2"/>
          <w:sz w:val="32"/>
          <w:szCs w:val="32"/>
          <w:highlight w:val="none"/>
          <w:lang w:eastAsia="zh-CN" w:bidi="ar-SA"/>
        </w:rPr>
        <w:t>。</w:t>
      </w:r>
      <w:r>
        <w:rPr>
          <w:rFonts w:hint="eastAsia" w:ascii="仿宋_GB2312" w:hAnsi="仿宋_GB2312" w:eastAsia="仿宋_GB2312" w:cs="仿宋_GB2312"/>
          <w:color w:val="auto"/>
          <w:kern w:val="2"/>
          <w:sz w:val="32"/>
          <w:szCs w:val="32"/>
          <w:highlight w:val="none"/>
          <w:lang w:bidi="ar-SA"/>
        </w:rPr>
        <w:t>后备人才培养人数超额完成目标，但在经费投入上，针对不同年龄段、不同项目梯队后备人才的培养经费配置缺乏更精细化的测算和分配；受限于对各后备人才梯队训练需求、成长规律的调研分析不够深入，部分培养环节经费配置不够精准，未能实现经费投入与后备人才培养成效的最优匹配。</w:t>
      </w:r>
    </w:p>
    <w:p w14:paraId="4B6147B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六、</w:t>
      </w:r>
      <w:r>
        <w:rPr>
          <w:rFonts w:hint="eastAsia" w:ascii="黑体" w:hAnsi="黑体" w:eastAsia="黑体" w:cs="黑体"/>
          <w:color w:val="auto"/>
          <w:sz w:val="32"/>
          <w:szCs w:val="32"/>
          <w:highlight w:val="none"/>
        </w:rPr>
        <w:t>有关建议</w:t>
      </w:r>
    </w:p>
    <w:p w14:paraId="5413647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en-US" w:eastAsia="zh-CN"/>
        </w:rPr>
        <w:t>优化预算执行管控体系，精准匹配资金使用节奏</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完善预算执行动态监控机制，依托财务信息化系统，对各科室经费支出进度、资金使用方向进行实时跟踪，设置预算执行进度预警线，对进度滞后的科目及时提醒、督促整改；推动财务部门与业务科室建立月度沟通对接机制，业务科室提前报送训练、比赛、采购等工作的资金需求计划，财务部门根据工作进度精准拨付资金，实现预算执行与备战工作实际进度高度同步，进一步提升资金执行效率和使用精准度。</w:t>
      </w:r>
    </w:p>
    <w:p w14:paraId="56EC53F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精细化配置后备人才培养经费，提升资金投入效益</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开展后备人才培养经费需求专项调研，结合举重、摔跤、柔道各项目特点，以及不同年龄段、不同梯队后备人才的训练、选材、参赛、营养补给等实际需求，建立经费配置测算模型；按照“分类施策、重点培育”原则，对潜力后备人才、重点梯队加大经费倾斜，对基础选材阶段合理把控经费投入，实现经费配置与后备人才成长规律、培养目标精准匹配，最大限度发挥培养经费的投入效益，夯实竞技体育后备人才梯队建设。</w:t>
      </w:r>
    </w:p>
    <w:p w14:paraId="670D58B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聚焦备战核心需求，优化经费保障重点</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围绕体育赛事备战核心目标，坚持“重点突出、兼顾全面”的经费保障原则，将经费优先向一线参赛队员、重点赛事备战、关键训练环节倾斜，强化对运动员康复治疗、高端器材采购、优质营养补给、外籍专家指导等核心需求的经费保障；同时，合理统筹后备人才培养、梯队建设、基层选材等工作的经费投入，推动举重、摔跤、柔道项目竞技水平整体提升，实现“以赛促训、以训育才”的良性循环。</w:t>
      </w:r>
    </w:p>
    <w:p w14:paraId="1B47F2E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七、</w:t>
      </w:r>
      <w:r>
        <w:rPr>
          <w:rFonts w:hint="eastAsia" w:ascii="黑体" w:hAnsi="黑体" w:eastAsia="黑体" w:cs="黑体"/>
          <w:color w:val="auto"/>
          <w:sz w:val="32"/>
          <w:szCs w:val="32"/>
          <w:highlight w:val="none"/>
        </w:rPr>
        <w:t>其他需要说明的问题</w:t>
      </w:r>
    </w:p>
    <w:p w14:paraId="46BB7003">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highlight w:val="none"/>
        </w:rPr>
      </w:pPr>
      <w:r>
        <w:rPr>
          <w:rFonts w:hint="eastAsia" w:ascii="仿宋_GB2312" w:hAnsi="仿宋_GB2312" w:eastAsia="仿宋_GB2312" w:cs="仿宋_GB2312"/>
          <w:color w:val="auto"/>
          <w:sz w:val="32"/>
          <w:szCs w:val="32"/>
          <w:highlight w:val="none"/>
          <w:lang w:val="en-US" w:eastAsia="zh-CN"/>
        </w:rPr>
        <w:t>后期我单位将对项目进行总结，在评价工作过程中遇到的问题及政策与制度完善以书面材料等形式进行备案并妥善保管，今后工作中我单位将继续加强财务管理，严格财务审核，提高财务的精细化管理，并按照政府信息公开有关规定，积极推进评价结果和评价报告等绩效信息的公开，加强社会和舆论监督，提高财政资金使用透明度，不断提高为民服务效率，切实提升群众满意度。</w:t>
      </w:r>
    </w:p>
    <w:sectPr>
      <w:pgSz w:w="11906" w:h="16838"/>
      <w:pgMar w:top="1984" w:right="1531" w:bottom="1701" w:left="1531" w:header="737" w:footer="850" w:gutter="0"/>
      <w:cols w:space="0" w:num="1"/>
      <w:rtlGutter w:val="0"/>
      <w:docGrid w:type="lines" w:linePitch="4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altName w:val="方正舒体"/>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B44B5E"/>
    <w:multiLevelType w:val="singleLevel"/>
    <w:tmpl w:val="27B44B5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21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MWJjYzE4ODNiNThkZWIwZDQzYTExYzlhYzg5MTQifQ=="/>
  </w:docVars>
  <w:rsids>
    <w:rsidRoot w:val="56DF6C36"/>
    <w:rsid w:val="03304250"/>
    <w:rsid w:val="057E6C6F"/>
    <w:rsid w:val="09743699"/>
    <w:rsid w:val="0FE961EB"/>
    <w:rsid w:val="12EA65EE"/>
    <w:rsid w:val="166626FB"/>
    <w:rsid w:val="16E66E3E"/>
    <w:rsid w:val="185145F5"/>
    <w:rsid w:val="1B2572C5"/>
    <w:rsid w:val="1C9F7D88"/>
    <w:rsid w:val="23533E4B"/>
    <w:rsid w:val="2A846AAC"/>
    <w:rsid w:val="31EE5C53"/>
    <w:rsid w:val="394012FE"/>
    <w:rsid w:val="39AE7B43"/>
    <w:rsid w:val="39C709E0"/>
    <w:rsid w:val="3A5E212D"/>
    <w:rsid w:val="3AA528F0"/>
    <w:rsid w:val="3C1F3318"/>
    <w:rsid w:val="3E6E7AA7"/>
    <w:rsid w:val="41267873"/>
    <w:rsid w:val="435F1167"/>
    <w:rsid w:val="4C0735A3"/>
    <w:rsid w:val="4E372EB3"/>
    <w:rsid w:val="50E926B1"/>
    <w:rsid w:val="51373C80"/>
    <w:rsid w:val="538452A3"/>
    <w:rsid w:val="551F668B"/>
    <w:rsid w:val="56DF6C36"/>
    <w:rsid w:val="57785D2A"/>
    <w:rsid w:val="57E3111C"/>
    <w:rsid w:val="58E75F2E"/>
    <w:rsid w:val="5C3D2F98"/>
    <w:rsid w:val="5F5407BB"/>
    <w:rsid w:val="628F4B42"/>
    <w:rsid w:val="62BB6808"/>
    <w:rsid w:val="62CF5E0F"/>
    <w:rsid w:val="67687A02"/>
    <w:rsid w:val="6D7F5857"/>
    <w:rsid w:val="6EA7077F"/>
    <w:rsid w:val="6F736745"/>
    <w:rsid w:val="6FDA17BC"/>
    <w:rsid w:val="718F50E7"/>
    <w:rsid w:val="78191BAF"/>
    <w:rsid w:val="792F50EF"/>
    <w:rsid w:val="7A7430CC"/>
    <w:rsid w:val="7A765096"/>
    <w:rsid w:val="7B4F7695"/>
    <w:rsid w:val="7B5567E1"/>
    <w:rsid w:val="7C672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autoRedefine/>
    <w:qFormat/>
    <w:uiPriority w:val="0"/>
    <w:pPr>
      <w:keepNext/>
      <w:keepLines/>
      <w:spacing w:beforeLines="0" w:beforeAutospacing="0" w:afterLines="0" w:afterAutospacing="0" w:line="600" w:lineRule="exact"/>
      <w:ind w:firstLine="627" w:firstLineChars="200"/>
      <w:outlineLvl w:val="0"/>
    </w:pPr>
    <w:rPr>
      <w:rFonts w:ascii="Calibri" w:hAnsi="Calibri" w:eastAsia="楷体" w:cs="Times New Roman"/>
      <w:b/>
      <w:kern w:val="44"/>
    </w:rPr>
  </w:style>
  <w:style w:type="paragraph" w:styleId="3">
    <w:name w:val="heading 3"/>
    <w:basedOn w:val="1"/>
    <w:next w:val="1"/>
    <w:autoRedefine/>
    <w:unhideWhenUsed/>
    <w:qFormat/>
    <w:uiPriority w:val="9"/>
    <w:pPr>
      <w:keepNext/>
      <w:widowControl/>
      <w:spacing w:before="240" w:after="60"/>
      <w:jc w:val="left"/>
      <w:outlineLvl w:val="2"/>
    </w:pPr>
    <w:rPr>
      <w:rFonts w:ascii="Cambria" w:hAnsi="Cambria"/>
      <w:b/>
      <w:bCs/>
      <w:kern w:val="0"/>
      <w:szCs w:val="26"/>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annotation text"/>
    <w:basedOn w:val="1"/>
    <w:autoRedefine/>
    <w:unhideWhenUsed/>
    <w:qFormat/>
    <w:uiPriority w:val="99"/>
    <w:pPr>
      <w:jc w:val="left"/>
    </w:pPr>
  </w:style>
  <w:style w:type="paragraph" w:styleId="5">
    <w:name w:val="Body Text"/>
    <w:basedOn w:val="1"/>
    <w:next w:val="6"/>
    <w:qFormat/>
    <w:uiPriority w:val="0"/>
    <w:pPr>
      <w:spacing w:after="120" w:afterLines="0" w:afterAutospacing="0"/>
    </w:pPr>
  </w:style>
  <w:style w:type="paragraph" w:styleId="6">
    <w:name w:val="Body Text First Indent"/>
    <w:basedOn w:val="5"/>
    <w:qFormat/>
    <w:uiPriority w:val="0"/>
    <w:pPr>
      <w:ind w:firstLine="420" w:firstLineChars="100"/>
    </w:pPr>
  </w:style>
  <w:style w:type="paragraph" w:styleId="7">
    <w:name w:val="Body Text Indent 2"/>
    <w:basedOn w:val="1"/>
    <w:autoRedefine/>
    <w:qFormat/>
    <w:uiPriority w:val="0"/>
    <w:pPr>
      <w:spacing w:line="480" w:lineRule="auto"/>
      <w:ind w:left="420" w:leftChars="200"/>
    </w:pPr>
  </w:style>
  <w:style w:type="character" w:styleId="10">
    <w:name w:val="Strong"/>
    <w:basedOn w:val="9"/>
    <w:qFormat/>
    <w:uiPriority w:val="99"/>
    <w:rPr>
      <w:b/>
      <w:bCs/>
    </w:rPr>
  </w:style>
  <w:style w:type="paragraph" w:customStyle="1" w:styleId="11">
    <w:name w:val="Normal Indent1"/>
    <w:next w:val="1"/>
    <w:qFormat/>
    <w:uiPriority w:val="0"/>
    <w:pPr>
      <w:widowControl w:val="0"/>
      <w:autoSpaceDE w:val="0"/>
      <w:autoSpaceDN w:val="0"/>
      <w:adjustRightInd w:val="0"/>
      <w:spacing w:line="590" w:lineRule="atLeast"/>
      <w:jc w:val="left"/>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7637</Words>
  <Characters>7963</Characters>
  <Lines>0</Lines>
  <Paragraphs>0</Paragraphs>
  <TotalTime>1</TotalTime>
  <ScaleCrop>false</ScaleCrop>
  <LinksUpToDate>false</LinksUpToDate>
  <CharactersWithSpaces>7972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2024-04-08T08:20:00Z</dcterms:created>
  <dc:creator>Pari</dc:creator>
  <cp:lastModifiedBy>左先生</cp:lastModifiedBy>
  <cp:lastPrinted>2025-03-19T05:05:00Z</cp:lastPrinted>
  <dcterms:modified xsi:type="dcterms:W3CDTF">2026-03-25T04:03:43Z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3088D1EF2AD745F9A66D3BAB4C3FF52B_13</vt:lpwstr>
  </property>
  <property fmtid="{D5CDD505-2E9C-101B-9397-08002B2CF9AE}" pid="4" name="KSOTemplateDocerSaveRecord">
    <vt:lpwstr>eyJoZGlkIjoiNDViN2Y4ODlkMDA0YmMxNGIwZWQzNjA4YTFjYmU5YmIiLCJ1c2VySWQiOiIzMTUyMzYyMTYifQ==</vt:lpwstr>
  </property>
</Properties>
</file>