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A704D">
      <w:pPr>
        <w:pageBreakBefore w:val="0"/>
        <w:kinsoku/>
        <w:wordWrap/>
        <w:overflowPunct/>
        <w:topLinePunct w:val="0"/>
        <w:autoSpaceDE/>
        <w:autoSpaceDN/>
        <w:bidi w:val="0"/>
        <w:adjustRightInd/>
        <w:snapToGrid/>
        <w:spacing w:line="600" w:lineRule="exact"/>
        <w:ind w:leftChars="0"/>
        <w:jc w:val="center"/>
        <w:textAlignment w:val="auto"/>
        <w:rPr>
          <w:rFonts w:hint="eastAsia" w:ascii="宋体" w:hAnsi="宋体" w:eastAsia="宋体" w:cs="Arial"/>
          <w:b/>
          <w:bCs/>
          <w:color w:val="auto"/>
          <w:sz w:val="36"/>
          <w:szCs w:val="36"/>
          <w:highlight w:val="none"/>
        </w:rPr>
      </w:pPr>
    </w:p>
    <w:p w14:paraId="624A3D14">
      <w:pPr>
        <w:pageBreakBefore w:val="0"/>
        <w:kinsoku/>
        <w:wordWrap/>
        <w:overflowPunct/>
        <w:topLinePunct w:val="0"/>
        <w:autoSpaceDE/>
        <w:autoSpaceDN/>
        <w:bidi w:val="0"/>
        <w:adjustRightInd/>
        <w:snapToGrid/>
        <w:spacing w:line="600" w:lineRule="exact"/>
        <w:ind w:leftChars="0"/>
        <w:jc w:val="center"/>
        <w:textAlignment w:val="auto"/>
        <w:rPr>
          <w:rFonts w:hint="eastAsia" w:ascii="方正小标宋简体" w:hAnsi="方正小标宋简体" w:eastAsia="方正小标宋简体" w:cs="方正小标宋简体"/>
          <w:b/>
          <w:bCs/>
          <w:color w:val="auto"/>
          <w:sz w:val="44"/>
          <w:szCs w:val="44"/>
          <w:highlight w:val="none"/>
        </w:rPr>
      </w:pPr>
      <w:r>
        <w:rPr>
          <w:rFonts w:hint="eastAsia" w:ascii="方正小标宋简体" w:hAnsi="方正小标宋简体" w:eastAsia="方正小标宋简体" w:cs="方正小标宋简体"/>
          <w:b/>
          <w:bCs/>
          <w:color w:val="auto"/>
          <w:sz w:val="44"/>
          <w:szCs w:val="44"/>
          <w:highlight w:val="none"/>
        </w:rPr>
        <w:t>项目支出绩效评价报告</w:t>
      </w:r>
    </w:p>
    <w:p w14:paraId="01E3B5A8">
      <w:pPr>
        <w:pageBreakBefore w:val="0"/>
        <w:kinsoku/>
        <w:wordWrap/>
        <w:overflowPunct/>
        <w:topLinePunct w:val="0"/>
        <w:autoSpaceDE/>
        <w:autoSpaceDN/>
        <w:bidi w:val="0"/>
        <w:adjustRightInd/>
        <w:snapToGrid/>
        <w:spacing w:line="600" w:lineRule="exact"/>
        <w:ind w:leftChars="0"/>
        <w:jc w:val="center"/>
        <w:textAlignment w:val="auto"/>
        <w:rPr>
          <w:rFonts w:hint="eastAsia" w:ascii="Times New Roman" w:hAnsi="宋体" w:cs="宋体"/>
          <w:color w:val="auto"/>
          <w:kern w:val="0"/>
          <w:sz w:val="36"/>
          <w:szCs w:val="36"/>
          <w:highlight w:val="none"/>
          <w:lang w:eastAsia="zh-CN"/>
        </w:rPr>
      </w:pPr>
      <w:r>
        <w:rPr>
          <w:rFonts w:hint="eastAsia" w:ascii="Times New Roman" w:hAnsi="宋体" w:cs="宋体"/>
          <w:color w:val="auto"/>
          <w:kern w:val="0"/>
          <w:sz w:val="36"/>
          <w:szCs w:val="36"/>
          <w:highlight w:val="none"/>
          <w:lang w:eastAsia="zh-CN"/>
        </w:rPr>
        <w:t>（</w:t>
      </w:r>
      <w:r>
        <w:rPr>
          <w:rFonts w:hint="eastAsia" w:ascii="Times New Roman" w:hAnsi="宋体" w:cs="宋体"/>
          <w:color w:val="auto"/>
          <w:kern w:val="0"/>
          <w:sz w:val="36"/>
          <w:szCs w:val="36"/>
          <w:highlight w:val="none"/>
          <w:lang w:val="en-US" w:eastAsia="zh-CN"/>
        </w:rPr>
        <w:t>202</w:t>
      </w:r>
      <w:r>
        <w:rPr>
          <w:rFonts w:hint="eastAsia" w:hAnsi="宋体" w:cs="宋体"/>
          <w:color w:val="auto"/>
          <w:kern w:val="0"/>
          <w:sz w:val="36"/>
          <w:szCs w:val="36"/>
          <w:highlight w:val="none"/>
          <w:lang w:val="en-US" w:eastAsia="zh-CN"/>
        </w:rPr>
        <w:t>5</w:t>
      </w:r>
      <w:r>
        <w:rPr>
          <w:rFonts w:hint="eastAsia" w:ascii="Times New Roman" w:hAnsi="宋体" w:cs="宋体"/>
          <w:color w:val="auto"/>
          <w:kern w:val="0"/>
          <w:sz w:val="36"/>
          <w:szCs w:val="36"/>
          <w:highlight w:val="none"/>
          <w:lang w:val="en-US" w:eastAsia="zh-CN"/>
        </w:rPr>
        <w:t>年度</w:t>
      </w:r>
      <w:r>
        <w:rPr>
          <w:rFonts w:hint="eastAsia" w:ascii="Times New Roman" w:hAnsi="宋体" w:cs="宋体"/>
          <w:color w:val="auto"/>
          <w:kern w:val="0"/>
          <w:sz w:val="36"/>
          <w:szCs w:val="36"/>
          <w:highlight w:val="none"/>
          <w:lang w:eastAsia="zh-CN"/>
        </w:rPr>
        <w:t>）</w:t>
      </w:r>
    </w:p>
    <w:p w14:paraId="7F91A370">
      <w:pPr>
        <w:pStyle w:val="3"/>
        <w:rPr>
          <w:rFonts w:hint="eastAsia" w:ascii="Times New Roman" w:hAnsi="宋体" w:cs="宋体"/>
          <w:color w:val="auto"/>
          <w:kern w:val="0"/>
          <w:sz w:val="36"/>
          <w:szCs w:val="36"/>
          <w:highlight w:val="none"/>
          <w:lang w:eastAsia="zh-CN"/>
        </w:rPr>
      </w:pPr>
    </w:p>
    <w:p w14:paraId="6105E3E5">
      <w:pPr>
        <w:rPr>
          <w:rFonts w:hint="eastAsia" w:ascii="Times New Roman" w:hAnsi="宋体" w:cs="宋体"/>
          <w:color w:val="auto"/>
          <w:kern w:val="0"/>
          <w:sz w:val="36"/>
          <w:szCs w:val="36"/>
          <w:highlight w:val="none"/>
          <w:lang w:eastAsia="zh-CN"/>
        </w:rPr>
      </w:pPr>
    </w:p>
    <w:p w14:paraId="1F7AB263">
      <w:pPr>
        <w:pStyle w:val="3"/>
        <w:rPr>
          <w:rFonts w:hint="eastAsia" w:ascii="Times New Roman" w:hAnsi="宋体" w:cs="宋体"/>
          <w:color w:val="auto"/>
          <w:kern w:val="0"/>
          <w:sz w:val="36"/>
          <w:szCs w:val="36"/>
          <w:highlight w:val="none"/>
          <w:lang w:eastAsia="zh-CN"/>
        </w:rPr>
      </w:pPr>
    </w:p>
    <w:p w14:paraId="5B37ADB9">
      <w:pPr>
        <w:pStyle w:val="3"/>
        <w:rPr>
          <w:rFonts w:hint="eastAsia"/>
          <w:color w:val="auto"/>
          <w:highlight w:val="none"/>
          <w:lang w:eastAsia="zh-CN"/>
        </w:rPr>
      </w:pPr>
    </w:p>
    <w:p w14:paraId="25C62AAF">
      <w:pPr>
        <w:ind w:left="4320" w:right="750" w:rightChars="250" w:hanging="3840" w:hangingChars="1200"/>
        <w:jc w:val="both"/>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项目名称：</w:t>
      </w:r>
      <w:r>
        <w:rPr>
          <w:rFonts w:hint="eastAsia" w:ascii="仿宋" w:hAnsi="仿宋" w:eastAsia="仿宋" w:cs="仿宋"/>
          <w:color w:val="auto"/>
          <w:kern w:val="0"/>
          <w:sz w:val="32"/>
          <w:szCs w:val="32"/>
          <w:highlight w:val="none"/>
          <w:lang w:val="en-US" w:eastAsia="zh-CN"/>
        </w:rPr>
        <w:t>体育训练参赛备战专项资金</w:t>
      </w:r>
    </w:p>
    <w:p w14:paraId="18B1EC90">
      <w:pPr>
        <w:jc w:val="left"/>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实施单位（公章）：</w:t>
      </w:r>
      <w:r>
        <w:rPr>
          <w:rFonts w:hint="eastAsia" w:ascii="仿宋" w:hAnsi="仿宋" w:eastAsia="仿宋" w:cs="仿宋"/>
          <w:color w:val="auto"/>
          <w:kern w:val="0"/>
          <w:sz w:val="32"/>
          <w:szCs w:val="32"/>
          <w:highlight w:val="none"/>
          <w:lang w:val="en-US" w:eastAsia="zh-CN"/>
        </w:rPr>
        <w:t>新疆维吾尔自治区冬季运动训练中心</w:t>
      </w:r>
    </w:p>
    <w:p w14:paraId="41628B3C">
      <w:pPr>
        <w:ind w:left="4320" w:right="750" w:rightChars="250" w:hanging="3840" w:hangingChars="1200"/>
        <w:jc w:val="both"/>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主管部门（公章）：</w:t>
      </w:r>
      <w:r>
        <w:rPr>
          <w:rFonts w:hint="eastAsia" w:ascii="仿宋" w:hAnsi="仿宋" w:eastAsia="仿宋" w:cs="仿宋"/>
          <w:color w:val="auto"/>
          <w:kern w:val="0"/>
          <w:sz w:val="32"/>
          <w:szCs w:val="32"/>
          <w:highlight w:val="none"/>
          <w:lang w:val="en-US" w:eastAsia="zh-CN"/>
        </w:rPr>
        <w:t>新疆维吾尔自治区体育局</w:t>
      </w:r>
    </w:p>
    <w:p w14:paraId="6110C4ED">
      <w:pPr>
        <w:ind w:left="4320" w:right="750" w:rightChars="250" w:hanging="3840" w:hangingChars="1200"/>
        <w:jc w:val="both"/>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项目负责人（签章）</w:t>
      </w:r>
      <w:r>
        <w:rPr>
          <w:rFonts w:hint="eastAsia" w:ascii="仿宋" w:hAnsi="仿宋" w:eastAsia="仿宋" w:cs="仿宋"/>
          <w:color w:val="auto"/>
          <w:kern w:val="0"/>
          <w:sz w:val="32"/>
          <w:szCs w:val="32"/>
          <w:highlight w:val="none"/>
          <w:lang w:val="en-US" w:eastAsia="zh-CN"/>
        </w:rPr>
        <w:t>：康永新</w:t>
      </w:r>
    </w:p>
    <w:p w14:paraId="3EC6C2A1">
      <w:pPr>
        <w:rPr>
          <w:rFonts w:ascii="仿宋_GB2312"/>
          <w:color w:val="auto"/>
          <w:szCs w:val="30"/>
          <w:highlight w:val="none"/>
        </w:rPr>
      </w:pPr>
      <w:r>
        <w:rPr>
          <w:rFonts w:hint="eastAsia" w:ascii="仿宋" w:hAnsi="仿宋" w:eastAsia="仿宋" w:cs="仿宋"/>
          <w:color w:val="auto"/>
          <w:kern w:val="0"/>
          <w:sz w:val="32"/>
          <w:szCs w:val="32"/>
          <w:highlight w:val="none"/>
        </w:rPr>
        <w:t>填报时间：</w:t>
      </w:r>
      <w:r>
        <w:rPr>
          <w:rFonts w:hint="eastAsia" w:ascii="仿宋" w:hAnsi="仿宋" w:eastAsia="仿宋" w:cs="仿宋"/>
          <w:color w:val="auto"/>
          <w:kern w:val="0"/>
          <w:sz w:val="32"/>
          <w:szCs w:val="32"/>
          <w:highlight w:val="none"/>
          <w:lang w:val="en-US" w:eastAsia="zh-CN"/>
        </w:rPr>
        <w:t>2025</w:t>
      </w:r>
      <w:r>
        <w:rPr>
          <w:rFonts w:hint="eastAsia" w:ascii="仿宋" w:hAnsi="仿宋" w:eastAsia="仿宋" w:cs="仿宋"/>
          <w:color w:val="auto"/>
          <w:kern w:val="0"/>
          <w:sz w:val="32"/>
          <w:szCs w:val="32"/>
          <w:highlight w:val="none"/>
        </w:rPr>
        <w:t xml:space="preserve">年 </w:t>
      </w: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月</w:t>
      </w:r>
      <w:r>
        <w:rPr>
          <w:rFonts w:hint="eastAsia" w:ascii="仿宋" w:hAnsi="仿宋" w:eastAsia="仿宋" w:cs="仿宋"/>
          <w:color w:val="auto"/>
          <w:kern w:val="0"/>
          <w:sz w:val="32"/>
          <w:szCs w:val="32"/>
          <w:highlight w:val="none"/>
          <w:lang w:val="en-US" w:eastAsia="zh-CN"/>
        </w:rPr>
        <w:t xml:space="preserve">18 </w:t>
      </w:r>
      <w:r>
        <w:rPr>
          <w:rFonts w:hint="eastAsia" w:ascii="仿宋" w:hAnsi="仿宋" w:eastAsia="仿宋" w:cs="仿宋"/>
          <w:color w:val="auto"/>
          <w:kern w:val="0"/>
          <w:sz w:val="32"/>
          <w:szCs w:val="32"/>
          <w:highlight w:val="none"/>
        </w:rPr>
        <w:t>日</w:t>
      </w:r>
      <w:r>
        <w:rPr>
          <w:rFonts w:ascii="仿宋_GB2312"/>
          <w:color w:val="auto"/>
          <w:szCs w:val="30"/>
          <w:highlight w:val="none"/>
        </w:rPr>
        <w:br w:type="page"/>
      </w:r>
    </w:p>
    <w:p w14:paraId="6ECA9C83">
      <w:pPr>
        <w:keepNext w:val="0"/>
        <w:keepLines w:val="0"/>
        <w:pageBreakBefore w:val="0"/>
        <w:widowControl w:val="0"/>
        <w:kinsoku/>
        <w:wordWrap/>
        <w:overflowPunct/>
        <w:topLinePunct w:val="0"/>
        <w:autoSpaceDE/>
        <w:autoSpaceDN/>
        <w:bidi w:val="0"/>
        <w:adjustRightInd/>
        <w:snapToGrid/>
        <w:spacing w:line="520" w:lineRule="exact"/>
        <w:ind w:leftChars="0" w:firstLine="600" w:firstLineChars="200"/>
        <w:textAlignment w:val="auto"/>
        <w:rPr>
          <w:rFonts w:ascii="黑体" w:hAnsi="黑体" w:eastAsia="黑体"/>
          <w:color w:val="auto"/>
          <w:highlight w:val="none"/>
        </w:rPr>
      </w:pPr>
      <w:r>
        <w:rPr>
          <w:rFonts w:hint="eastAsia" w:ascii="黑体" w:hAnsi="黑体" w:eastAsia="黑体"/>
          <w:color w:val="auto"/>
          <w:highlight w:val="none"/>
        </w:rPr>
        <w:t>一、基本情况</w:t>
      </w:r>
    </w:p>
    <w:p w14:paraId="2E6B2FF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（一）项目概况。</w:t>
      </w:r>
    </w:p>
    <w:p w14:paraId="421677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left"/>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lang w:val="en-US" w:eastAsia="zh-CN"/>
        </w:rPr>
        <w:t>1、</w:t>
      </w:r>
      <w:r>
        <w:rPr>
          <w:rFonts w:hint="eastAsia" w:ascii="仿宋" w:hAnsi="仿宋" w:eastAsia="仿宋" w:cs="仿宋"/>
          <w:b w:val="0"/>
          <w:bCs w:val="0"/>
          <w:color w:val="auto"/>
          <w:sz w:val="32"/>
          <w:szCs w:val="32"/>
          <w:highlight w:val="none"/>
        </w:rPr>
        <w:t>项目背景</w:t>
      </w:r>
    </w:p>
    <w:p w14:paraId="1DC321A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为深入贯彻落实冰雪运动“南展西扩东进、四季拓展”国家战略，落实自治区以冰雪运动高质量发展激发冰雪经济活力实施方案，保障米兰冬奥周期、亚冬会、第十五届全运会及全国冰雪赛事备战参赛需要。新疆冬季运动训练中心拥有亚高原冰场等一流训练设施，是国家冰雪项目重要训练基地，承担速度滑冰、短道速滑、越野滑雪、高山滑雪、滑雪登山等“两冰三雪”项目训练与人才培养任务。为提升竞技水平、完善训练保障、强化科技医疗支撑、稳定后备人才梯队，自治区财政设立2025年度体育训练参赛备战专项资金，用于保障日常训练、外训集训、参赛保障、器材装备、人才培养及场馆运维，推动新疆冰雪竞技体育提质增效，服务体育强区与冰雪经济发展。本项目实施主体为新疆维吾尔自治区冬季运动训练中心，资金来源为自治区财政预算及体彩公益金。项目围绕冰雪项目训练备战核心需求，主要用于：日常训练与外训集训、赛事参赛组织与赛时保障、训练竞赛器材装备更新维护、教练员裁判员培训、后备人才选拔培养、训练场馆运维与冰场保障、科研体能康复及营养补给等。项目目标为保障各项目常态化训练与参赛，提升竞技成绩与赛事竞争力，完善人才梯队与科学训练体系，确保备战任务落地，促进新疆冰雪运动可持续发展，发挥专项资金使用效益。</w:t>
      </w:r>
    </w:p>
    <w:p w14:paraId="03270B69">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 xml:space="preserve">2、主要内容及实施情况 </w:t>
      </w:r>
    </w:p>
    <w:p w14:paraId="569C5D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本项目聚焦新疆冬训中心“两冰三雪”重点项目备战任务，通过统筹财政专项资金，重点实施九大保障体系，全面覆盖训练、参赛、人才及后勤服务全链条。资金主要用于冰上与雪上项目日常训练及国内赛事参赛、训练器材与装备器材维修维护、承办国内赛事组织保障、外聘教练员薪酬激励、运动员营养补给与运动意外保险投保，以及统筹推进冰雪后备人才梯队建设。通过专项资金的精准投入，有效破解备战周期内训练耗材、赛事保障、人才引进及人才选拔的瓶颈问题，构建起“训练竞赛一体化、人才培养体系化、服务保障常态化”的备战格局，确保中心各运动队以高水平状态征战各项赛事。</w:t>
      </w:r>
    </w:p>
    <w:p w14:paraId="1B8A12D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训练竞赛经费保障。统筹安排冰上、雪上项目国内竞赛与训练经费606.524万元，保障队伍全年常态化集训，全力参与亚冬会等国内顶级赛事25场次，重点提升“两冰三雪”项目竞技实力。</w:t>
      </w:r>
    </w:p>
    <w:p w14:paraId="4DED5E79">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硬件设施维护。足额列支训练器材及运动队装备器材维修费用27.32万元，确保训练器械安全完好，延长装备使用寿命，为科学训练提供坚实硬件支撑。</w:t>
      </w:r>
    </w:p>
    <w:p w14:paraId="12AAB1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（3）赛事承办能力提升。专项保障承办国内赛事的组织经费121.164万元 ，完善办赛流程，提升场地接待与服务水平，以赛促训，增强区域冰雪运动影响力。承办国内赛事6次。</w:t>
      </w:r>
    </w:p>
    <w:p w14:paraId="2AA75312">
      <w:pPr>
        <w:pStyle w:val="3"/>
        <w:keepLines w:val="0"/>
        <w:pageBreakBefore w:val="0"/>
        <w:kinsoku/>
        <w:wordWrap/>
        <w:overflowPunct/>
        <w:topLinePunct w:val="0"/>
        <w:autoSpaceDE/>
        <w:autoSpaceDN/>
        <w:bidi w:val="0"/>
        <w:adjustRightInd/>
        <w:snapToGrid/>
        <w:spacing w:before="0" w:after="0" w:line="560" w:lineRule="exact"/>
        <w:ind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（4）专业团队建设。规范发放外聘教练员工资213.36万元，引入高水平专业人才8人，同时为全体运动员投保运动意外保险8.65万元，构建权责清晰、风险可控的用工与保障体系。</w:t>
      </w:r>
    </w:p>
    <w:p w14:paraId="79F86FED">
      <w:pPr>
        <w:pStyle w:val="3"/>
        <w:keepLines w:val="0"/>
        <w:pageBreakBefore w:val="0"/>
        <w:kinsoku/>
        <w:wordWrap/>
        <w:overflowPunct/>
        <w:topLinePunct w:val="0"/>
        <w:autoSpaceDE/>
        <w:autoSpaceDN/>
        <w:bidi w:val="0"/>
        <w:adjustRightInd/>
        <w:snapToGrid/>
        <w:spacing w:before="0" w:after="0" w:line="560" w:lineRule="exact"/>
        <w:ind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（5）运动员身心健康保障。落实营养品采购经费39.3529万元，结合运动员体能状况科学配给营养物资，强化队伍体质与恢复能力。</w:t>
      </w:r>
    </w:p>
    <w:p w14:paraId="27856143">
      <w:pPr>
        <w:pStyle w:val="3"/>
        <w:keepLines w:val="0"/>
        <w:pageBreakBefore w:val="0"/>
        <w:kinsoku/>
        <w:wordWrap/>
        <w:overflowPunct/>
        <w:topLinePunct w:val="0"/>
        <w:autoSpaceDE/>
        <w:autoSpaceDN/>
        <w:bidi w:val="0"/>
        <w:adjustRightInd/>
        <w:snapToGrid/>
        <w:spacing w:before="0" w:after="0" w:line="560" w:lineRule="exact"/>
        <w:ind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（6）后备人才梯队培育。设立专项培养经费128万元 ，用于后备人才选拔集训、青少年赛事选拔及梯队建设，畅通人才输送渠道，夯实新疆冰雪运动长远发展根基。</w:t>
      </w:r>
    </w:p>
    <w:p w14:paraId="2698EFA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各项目指标均已完成，完成效果较好。</w:t>
      </w:r>
    </w:p>
    <w:p w14:paraId="6F87B267">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3、资金投入和使用情况</w:t>
      </w:r>
    </w:p>
    <w:p w14:paraId="7143A020">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2025年预算资金1689.17.17万元，已全额到位，均为财政拨款，无自筹资金，预算资金到位率达到100%。</w:t>
      </w:r>
    </w:p>
    <w:p w14:paraId="343243DA">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 w:hAnsi="仿宋" w:eastAsia="仿宋" w:cs="仿宋"/>
          <w:color w:val="auto"/>
          <w:sz w:val="32"/>
          <w:szCs w:val="32"/>
          <w:highlight w:val="none"/>
          <w:lang w:val="en-US" w:eastAsia="zh-CN"/>
        </w:rPr>
        <w:t>截止2025年12月31日为止，已支出1689.17.17万</w:t>
      </w:r>
      <w:r>
        <w:rPr>
          <w:rFonts w:hint="eastAsia" w:ascii="仿宋_GB2312" w:hAnsi="仿宋_GB2312" w:eastAsia="仿宋_GB2312" w:cs="仿宋_GB2312"/>
          <w:color w:val="auto"/>
          <w:sz w:val="32"/>
          <w:szCs w:val="32"/>
          <w:highlight w:val="none"/>
          <w:lang w:val="en-US" w:eastAsia="zh-CN"/>
        </w:rPr>
        <w:t>元，资金执行率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。各项资金拨付严格按照上级文件指示精神进行，支出均有相关的授权审批，资金拨付严格按审批程序进行，使用规范，会计核算结果真实、准确。</w:t>
      </w:r>
    </w:p>
    <w:p w14:paraId="7B1B8F0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项目绩效目标。</w:t>
      </w:r>
    </w:p>
    <w:p w14:paraId="38DD619F">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总体目标：主要是购买不少于50件运动队专项器材，参加国内外竞赛不少于15场，承办不少于6次国内赛事，后备人才培养不少于60人，外聘教练员8名，通过项目实施积极备战2025年全国冠军赛等，争取获得奖牌数50块以上，为新疆体育增光添彩。</w:t>
      </w:r>
    </w:p>
    <w:p w14:paraId="6DAA76C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阶段性目标：无。</w:t>
      </w:r>
    </w:p>
    <w:p w14:paraId="63E9959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二、绩效评价工作开展情况</w:t>
      </w:r>
    </w:p>
    <w:p w14:paraId="0323F35E">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left"/>
        <w:textAlignment w:val="auto"/>
        <w:outlineLvl w:val="0"/>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（一）绩效评价目的、对象和范围。</w:t>
      </w:r>
    </w:p>
    <w:p w14:paraId="68BB5BC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绩效评价旨在通过评价改善预算部门的财政支出管理，优化资源配置及提高公共服务水平。本次绩效评价我单位遵循《中华人民共和国预算法》、《中共中央国务院关于全面实施预算绩效管理的意见》（中发〔2018〕34号文）、《自治区党委 自治区人民政府关于全面实施预算绩效管理的实施意见》（新党发〔2018〕30号文）、《关于做好2019年自治区预算绩效管理工作》（新财预〔2019〕20号）、《自治区全面实施预算绩效管理的工作方案》（新财预〔2018〕158号）、《自治区财政支出事前绩效评估管理暂行办法》（新财预〔2019〕36号）文件要求，引入第三方主体，采用科学、规范的方法，依据既定的评价技术体系，为加强财政预算资金管理，客观公正地核查</w:t>
      </w:r>
      <w:r>
        <w:rPr>
          <w:rFonts w:hint="eastAsia" w:ascii="仿宋_GB2312" w:hAnsi="仿宋_GB2312" w:cs="仿宋_GB2312"/>
          <w:color w:val="auto"/>
          <w:sz w:val="32"/>
          <w:szCs w:val="32"/>
          <w:highlight w:val="none"/>
          <w:lang w:val="en-US" w:eastAsia="zh-CN"/>
        </w:rPr>
        <w:t>体育训练参赛备战专项资金</w:t>
      </w:r>
      <w:r>
        <w:rPr>
          <w:rFonts w:hint="eastAsia" w:ascii="仿宋" w:hAnsi="仿宋" w:eastAsia="仿宋" w:cs="仿宋"/>
          <w:color w:val="auto"/>
          <w:kern w:val="0"/>
          <w:sz w:val="32"/>
          <w:szCs w:val="32"/>
          <w:highlight w:val="none"/>
          <w:lang w:val="en-US" w:eastAsia="zh-CN"/>
        </w:rPr>
        <w:t>项目</w:t>
      </w:r>
      <w:r>
        <w:rPr>
          <w:rFonts w:hint="eastAsia" w:ascii="仿宋_GB2312" w:hAnsi="仿宋_GB2312" w:eastAsia="仿宋_GB2312" w:cs="仿宋_GB2312"/>
          <w:color w:val="auto"/>
          <w:sz w:val="32"/>
          <w:szCs w:val="32"/>
          <w:highlight w:val="none"/>
          <w:lang w:val="en-US" w:eastAsia="zh-CN"/>
        </w:rPr>
        <w:t>设计目标实现程度，考核项目资金支出效率和综合效果，及时总结经验，分析存在问题及原因，切实采取有效措施进一步改进和加强财政专项资金管理，推动财政资金聚力增效，提高公共服务供给质量，增强政府公信力和执行力。</w:t>
      </w:r>
    </w:p>
    <w:p w14:paraId="06A2AB4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我单位从决策、过程、产出、成本和效果五个方面针对本项目进行评价，通过开展绩效评价，提高财政资金分配的科学性、有效性，向建立绩效预算制度迈出重要的一步。</w:t>
      </w:r>
    </w:p>
    <w:p w14:paraId="16702E9E">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left"/>
        <w:textAlignment w:val="auto"/>
        <w:outlineLvl w:val="0"/>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lang w:eastAsia="zh-CN"/>
        </w:rPr>
        <w:t>（二）</w:t>
      </w:r>
      <w:r>
        <w:rPr>
          <w:rFonts w:hint="eastAsia" w:ascii="楷体" w:hAnsi="楷体" w:eastAsia="楷体" w:cs="楷体"/>
          <w:b/>
          <w:bCs/>
          <w:color w:val="auto"/>
          <w:sz w:val="32"/>
          <w:szCs w:val="32"/>
          <w:highlight w:val="none"/>
        </w:rPr>
        <w:t>绩效评价原则、评价指标体系、评价方法、评价标准等。</w:t>
      </w:r>
    </w:p>
    <w:p w14:paraId="1F6CEF1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1、绩效评价原则</w:t>
      </w:r>
    </w:p>
    <w:p w14:paraId="4CBBF969">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）科学公正</w:t>
      </w:r>
      <w:r>
        <w:rPr>
          <w:rFonts w:hint="eastAsia" w:ascii="仿宋_GB2312" w:hAnsi="仿宋_GB2312" w:eastAsia="仿宋_GB2312" w:cs="仿宋_GB2312"/>
          <w:color w:val="auto"/>
          <w:sz w:val="32"/>
          <w:szCs w:val="32"/>
          <w:highlight w:val="none"/>
          <w:lang w:val="en-US" w:eastAsia="zh-CN"/>
        </w:rPr>
        <w:t>、科学规范原则</w:t>
      </w:r>
      <w:r>
        <w:rPr>
          <w:rFonts w:hint="default" w:ascii="仿宋_GB2312" w:hAnsi="仿宋_GB2312" w:eastAsia="仿宋_GB2312" w:cs="仿宋_GB2312"/>
          <w:color w:val="auto"/>
          <w:sz w:val="32"/>
          <w:szCs w:val="32"/>
          <w:highlight w:val="none"/>
          <w:lang w:val="en-US" w:eastAsia="zh-CN"/>
        </w:rPr>
        <w:t>。绩效评价应当运用科学合理的方法，按照规范的程序，对项目绩效进行客观、公正的反映</w:t>
      </w:r>
      <w:r>
        <w:rPr>
          <w:rFonts w:hint="eastAsia" w:ascii="仿宋_GB2312" w:hAnsi="仿宋_GB2312" w:eastAsia="仿宋_GB2312" w:cs="仿宋_GB2312"/>
          <w:color w:val="auto"/>
          <w:sz w:val="32"/>
          <w:szCs w:val="32"/>
          <w:highlight w:val="none"/>
          <w:lang w:val="en-US" w:eastAsia="zh-CN"/>
        </w:rPr>
        <w:t>，按照科学可行的要求，采用定量与定性分析相结合的方法。</w:t>
      </w:r>
    </w:p>
    <w:p w14:paraId="70D4069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分级分类原则</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我单位根据</w:t>
      </w:r>
      <w:r>
        <w:rPr>
          <w:rFonts w:hint="default" w:ascii="仿宋_GB2312" w:hAnsi="仿宋_GB2312" w:eastAsia="仿宋_GB2312" w:cs="仿宋_GB2312"/>
          <w:color w:val="auto"/>
          <w:sz w:val="32"/>
          <w:szCs w:val="32"/>
          <w:highlight w:val="none"/>
          <w:lang w:val="en-US" w:eastAsia="zh-CN"/>
        </w:rPr>
        <w:t>“谁支出、谁自评”</w:t>
      </w:r>
      <w:r>
        <w:rPr>
          <w:rFonts w:hint="eastAsia" w:ascii="仿宋_GB2312" w:hAnsi="仿宋_GB2312" w:eastAsia="仿宋_GB2312" w:cs="仿宋_GB2312"/>
          <w:color w:val="auto"/>
          <w:sz w:val="32"/>
          <w:szCs w:val="32"/>
          <w:highlight w:val="none"/>
          <w:lang w:val="en-US" w:eastAsia="zh-CN"/>
        </w:rPr>
        <w:t>的原则，根据评价对象的特点分类组织实施绩效</w:t>
      </w:r>
      <w:r>
        <w:rPr>
          <w:rFonts w:hint="default" w:ascii="仿宋_GB2312" w:hAnsi="仿宋_GB2312" w:eastAsia="仿宋_GB2312" w:cs="仿宋_GB2312"/>
          <w:color w:val="auto"/>
          <w:sz w:val="32"/>
          <w:szCs w:val="32"/>
          <w:highlight w:val="none"/>
          <w:lang w:val="en-US" w:eastAsia="zh-CN"/>
        </w:rPr>
        <w:t>评价</w:t>
      </w:r>
      <w:r>
        <w:rPr>
          <w:rFonts w:hint="eastAsia" w:ascii="仿宋_GB2312" w:hAnsi="仿宋_GB2312" w:eastAsia="仿宋_GB2312" w:cs="仿宋_GB2312"/>
          <w:color w:val="auto"/>
          <w:sz w:val="32"/>
          <w:szCs w:val="32"/>
          <w:highlight w:val="none"/>
          <w:lang w:val="en-US" w:eastAsia="zh-CN"/>
        </w:rPr>
        <w:t>工作，与相关单位</w:t>
      </w:r>
      <w:r>
        <w:rPr>
          <w:rFonts w:hint="default" w:ascii="仿宋_GB2312" w:hAnsi="仿宋_GB2312" w:eastAsia="仿宋_GB2312" w:cs="仿宋_GB2312"/>
          <w:color w:val="auto"/>
          <w:sz w:val="32"/>
          <w:szCs w:val="32"/>
          <w:highlight w:val="none"/>
          <w:lang w:val="en-US" w:eastAsia="zh-CN"/>
        </w:rPr>
        <w:t>职责明确，各有侧重，相互衔接。</w:t>
      </w:r>
    </w:p>
    <w:p w14:paraId="2F12782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3</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绩效相关原则</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我单位绩效评价针对具体投入及其产出绩效进行，评价结果清晰反映了支出和产出绩效之间的紧密对应关系。</w:t>
      </w:r>
    </w:p>
    <w:p w14:paraId="29A1D86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4</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公正</w:t>
      </w:r>
      <w:r>
        <w:rPr>
          <w:rFonts w:hint="default" w:ascii="仿宋_GB2312" w:hAnsi="仿宋_GB2312" w:eastAsia="仿宋_GB2312" w:cs="仿宋_GB2312"/>
          <w:color w:val="auto"/>
          <w:sz w:val="32"/>
          <w:szCs w:val="32"/>
          <w:highlight w:val="none"/>
          <w:lang w:val="en-US" w:eastAsia="zh-CN"/>
        </w:rPr>
        <w:t>公开</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透明</w:t>
      </w:r>
      <w:r>
        <w:rPr>
          <w:rFonts w:hint="eastAsia" w:ascii="仿宋_GB2312" w:hAnsi="仿宋_GB2312" w:eastAsia="仿宋_GB2312" w:cs="仿宋_GB2312"/>
          <w:color w:val="auto"/>
          <w:sz w:val="32"/>
          <w:szCs w:val="32"/>
          <w:highlight w:val="none"/>
          <w:lang w:val="en-US" w:eastAsia="zh-CN"/>
        </w:rPr>
        <w:t>原则</w:t>
      </w:r>
      <w:r>
        <w:rPr>
          <w:rFonts w:hint="default" w:ascii="仿宋_GB2312" w:hAnsi="仿宋_GB2312" w:eastAsia="仿宋_GB2312" w:cs="仿宋_GB2312"/>
          <w:color w:val="auto"/>
          <w:sz w:val="32"/>
          <w:szCs w:val="32"/>
          <w:highlight w:val="none"/>
          <w:lang w:val="en-US" w:eastAsia="zh-CN"/>
        </w:rPr>
        <w:t>。绩效评价结果</w:t>
      </w:r>
      <w:r>
        <w:rPr>
          <w:rFonts w:hint="eastAsia" w:ascii="仿宋_GB2312" w:hAnsi="仿宋_GB2312" w:eastAsia="仿宋_GB2312" w:cs="仿宋_GB2312"/>
          <w:color w:val="auto"/>
          <w:sz w:val="32"/>
          <w:szCs w:val="32"/>
          <w:highlight w:val="none"/>
          <w:lang w:val="en-US" w:eastAsia="zh-CN"/>
        </w:rPr>
        <w:t>应当符合真实、客观、公正的要求，</w:t>
      </w:r>
      <w:r>
        <w:rPr>
          <w:rFonts w:hint="default" w:ascii="仿宋_GB2312" w:hAnsi="仿宋_GB2312" w:eastAsia="仿宋_GB2312" w:cs="仿宋_GB2312"/>
          <w:color w:val="auto"/>
          <w:sz w:val="32"/>
          <w:szCs w:val="32"/>
          <w:highlight w:val="none"/>
          <w:lang w:val="en-US" w:eastAsia="zh-CN"/>
        </w:rPr>
        <w:t>依法依规公开，并自觉接受社会监督。</w:t>
      </w:r>
    </w:p>
    <w:p w14:paraId="60E5A8D6">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2、评价指标体系</w:t>
      </w:r>
    </w:p>
    <w:p w14:paraId="3EA3FF39">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评价指标体系是建立财政支出评价的载体，财政支出效益必须通过评价指标予以体现。科学、完整的评价指标体系是取得正确评价结果的先决条件，因而指标体系的设计应体现完整性、科学性及易操作性等特点，坚持经济性、效率性和有效性兼顾的原则，按照评价目标和财政支出范围分层设置。</w:t>
      </w:r>
    </w:p>
    <w:p w14:paraId="1CFE1E0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zh-TW" w:eastAsia="zh-TW"/>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val="zh-TW" w:eastAsia="zh-TW"/>
        </w:rPr>
        <w:t>财政支出绩效评价指标体系严格按照《项目支出绩效评价管理办法》（财预〔2020〕10号）文件要求设置，</w:t>
      </w:r>
      <w:r>
        <w:rPr>
          <w:rFonts w:hint="eastAsia" w:ascii="仿宋_GB2312" w:hAnsi="仿宋_GB2312" w:eastAsia="仿宋_GB2312" w:cs="仿宋_GB2312"/>
          <w:color w:val="auto"/>
          <w:sz w:val="32"/>
          <w:szCs w:val="32"/>
          <w:highlight w:val="none"/>
          <w:lang w:val="en-US" w:eastAsia="zh-CN"/>
        </w:rPr>
        <w:t>指标体系设置一级指标共</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个</w:t>
      </w:r>
      <w:r>
        <w:rPr>
          <w:rFonts w:hint="eastAsia" w:ascii="仿宋_GB2312" w:hAnsi="仿宋_GB2312" w:eastAsia="仿宋_GB2312" w:cs="仿宋_GB2312"/>
          <w:color w:val="auto"/>
          <w:sz w:val="32"/>
          <w:szCs w:val="32"/>
          <w:highlight w:val="none"/>
          <w:lang w:val="zh-TW" w:eastAsia="zh-TW"/>
        </w:rPr>
        <w:t>，包括决策</w:t>
      </w: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eastAsia="仿宋_GB2312" w:cs="仿宋_GB2312"/>
          <w:color w:val="auto"/>
          <w:sz w:val="32"/>
          <w:szCs w:val="32"/>
          <w:highlight w:val="none"/>
          <w:lang w:val="zh-TW" w:eastAsia="zh-TW"/>
        </w:rPr>
        <w:t>（2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过程指标</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产出指标（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0%）、成本指标（0%）、效益指标（30%）五类</w:t>
      </w:r>
      <w:r>
        <w:rPr>
          <w:rFonts w:hint="eastAsia" w:ascii="仿宋_GB2312" w:hAnsi="仿宋_GB2312" w:eastAsia="仿宋_GB2312" w:cs="仿宋_GB2312"/>
          <w:color w:val="auto"/>
          <w:sz w:val="32"/>
          <w:szCs w:val="32"/>
          <w:highlight w:val="none"/>
          <w:lang w:val="zh-TW" w:eastAsia="zh-TW"/>
        </w:rPr>
        <w:t>指标；主要围绕资金使用、项目管理、资源配置等方面，客观分析项目的产出和效果，从而考察项目预算定额标准的合理性，进而提出完善意见。整个评价框架构成体现从投入、过程到产出、效果和影响的绩效逻辑路径。</w:t>
      </w:r>
    </w:p>
    <w:p w14:paraId="592314A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sectPr>
          <w:pgSz w:w="11906" w:h="16838"/>
          <w:pgMar w:top="2098" w:right="1531" w:bottom="1984" w:left="1531" w:header="737" w:footer="851" w:gutter="0"/>
          <w:cols w:space="720" w:num="1"/>
          <w:docGrid w:type="lines" w:linePitch="408" w:charSpace="0"/>
        </w:sectPr>
      </w:pPr>
      <w:r>
        <w:rPr>
          <w:rFonts w:hint="eastAsia" w:ascii="仿宋_GB2312" w:hAnsi="仿宋_GB2312" w:eastAsia="仿宋_GB2312" w:cs="仿宋_GB2312"/>
          <w:color w:val="auto"/>
          <w:sz w:val="32"/>
          <w:szCs w:val="32"/>
          <w:highlight w:val="none"/>
          <w:lang w:val="en-US" w:eastAsia="zh-CN"/>
        </w:rPr>
        <w:t>我单位经过一系列论证，从决策、过程、产出</w:t>
      </w:r>
      <w:r>
        <w:rPr>
          <w:rFonts w:hint="eastAsia" w:ascii="仿宋_GB2312" w:hAnsi="仿宋_GB2312" w:cs="仿宋_GB2312"/>
          <w:color w:val="auto"/>
          <w:sz w:val="32"/>
          <w:szCs w:val="32"/>
          <w:highlight w:val="none"/>
          <w:lang w:val="en-US" w:eastAsia="zh-CN"/>
        </w:rPr>
        <w:t>、成本和</w:t>
      </w:r>
      <w:r>
        <w:rPr>
          <w:rFonts w:hint="eastAsia" w:ascii="仿宋_GB2312" w:hAnsi="仿宋_GB2312" w:eastAsia="仿宋_GB2312" w:cs="仿宋_GB2312"/>
          <w:color w:val="auto"/>
          <w:sz w:val="32"/>
          <w:szCs w:val="32"/>
          <w:highlight w:val="none"/>
          <w:lang w:val="en-US" w:eastAsia="zh-CN"/>
        </w:rPr>
        <w:t>效果</w:t>
      </w:r>
      <w:r>
        <w:rPr>
          <w:rFonts w:hint="eastAsia" w:ascii="仿宋_GB2312" w:hAnsi="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highlight w:val="none"/>
          <w:lang w:val="en-US" w:eastAsia="zh-CN"/>
        </w:rPr>
        <w:t>个过程进行评价，涉及二级指标</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val="en-US" w:eastAsia="zh-CN"/>
        </w:rPr>
        <w:t>个，三级指标</w:t>
      </w:r>
      <w:r>
        <w:rPr>
          <w:rFonts w:hint="eastAsia" w:ascii="仿宋_GB2312" w:hAnsi="仿宋_GB2312" w:cs="仿宋_GB2312"/>
          <w:color w:val="auto"/>
          <w:sz w:val="32"/>
          <w:szCs w:val="32"/>
          <w:highlight w:val="none"/>
          <w:lang w:val="en-US" w:eastAsia="zh-CN"/>
        </w:rPr>
        <w:t>17</w:t>
      </w:r>
      <w:r>
        <w:rPr>
          <w:rFonts w:hint="eastAsia" w:ascii="仿宋_GB2312" w:hAnsi="仿宋_GB2312" w:eastAsia="仿宋_GB2312" w:cs="仿宋_GB2312"/>
          <w:color w:val="auto"/>
          <w:sz w:val="32"/>
          <w:szCs w:val="32"/>
          <w:highlight w:val="none"/>
          <w:lang w:val="en-US" w:eastAsia="zh-CN"/>
        </w:rPr>
        <w:t>个，具体评价指标体系</w:t>
      </w:r>
      <w:r>
        <w:rPr>
          <w:rFonts w:hint="eastAsia" w:ascii="仿宋_GB2312" w:hAnsi="仿宋_GB2312" w:cs="仿宋_GB2312"/>
          <w:color w:val="auto"/>
          <w:sz w:val="32"/>
          <w:szCs w:val="32"/>
          <w:highlight w:val="none"/>
          <w:lang w:val="en-US" w:eastAsia="zh-CN"/>
        </w:rPr>
        <w:t>附表：</w:t>
      </w:r>
    </w:p>
    <w:p w14:paraId="0AE2879D">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3.评价方法</w:t>
      </w:r>
    </w:p>
    <w:p w14:paraId="2377445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成本效益分析法。是指将投入与产出、效益进行关联性分析的方法。 </w:t>
      </w:r>
    </w:p>
    <w:p w14:paraId="5376F87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比较法。是指将实施情况与绩效目标、历史情况、不同部门和地区同类支出情况进行比较的方法。</w:t>
      </w:r>
    </w:p>
    <w:p w14:paraId="0E28E2A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最低成本法。是指在绩效目标确定的前提下，成本最小者为优的方法。</w:t>
      </w:r>
    </w:p>
    <w:p w14:paraId="4F54D990">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标杆管理法。是指以国内外同行业中较高的绩效水平为标杆进行评判的方法。</w:t>
      </w:r>
    </w:p>
    <w:p w14:paraId="3385F02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结合本单位项目开展具体情况，我单位采用了比较法、成本效益分析法，通过着重</w:t>
      </w:r>
      <w:r>
        <w:rPr>
          <w:rFonts w:hint="default" w:ascii="仿宋_GB2312" w:hAnsi="仿宋_GB2312" w:eastAsia="仿宋_GB2312" w:cs="仿宋_GB2312"/>
          <w:color w:val="auto"/>
          <w:sz w:val="32"/>
          <w:szCs w:val="32"/>
          <w:highlight w:val="none"/>
          <w:lang w:val="en-US" w:eastAsia="zh-CN"/>
        </w:rPr>
        <w:t>比较项目的全部成本和效益来评估项目价值</w:t>
      </w:r>
      <w:r>
        <w:rPr>
          <w:rFonts w:hint="eastAsia" w:ascii="仿宋_GB2312" w:hAnsi="仿宋_GB2312" w:eastAsia="仿宋_GB2312" w:cs="仿宋_GB2312"/>
          <w:color w:val="auto"/>
          <w:sz w:val="32"/>
          <w:szCs w:val="32"/>
          <w:highlight w:val="none"/>
          <w:lang w:val="en-US" w:eastAsia="zh-CN"/>
        </w:rPr>
        <w:t>，确定三级指标得分情况。</w:t>
      </w:r>
    </w:p>
    <w:p w14:paraId="1025E5C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4、评价标准</w:t>
      </w:r>
    </w:p>
    <w:p w14:paraId="3C27256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绩效评价标准通常包括计划标准、行业标准、历史标准等，用于对绩效指标完成情况进行比较。</w:t>
      </w:r>
      <w:r>
        <w:rPr>
          <w:rFonts w:hint="eastAsia" w:ascii="仿宋_GB2312" w:hAnsi="仿宋_GB2312" w:eastAsia="仿宋_GB2312" w:cs="仿宋_GB2312"/>
          <w:color w:val="auto"/>
          <w:sz w:val="32"/>
          <w:szCs w:val="32"/>
          <w:highlight w:val="none"/>
          <w:lang w:val="en-US" w:eastAsia="zh-CN"/>
        </w:rPr>
        <w:t>我单位针对该项目采用的历史评价标准，参考近三年绩效指标平均值、上年值，</w:t>
      </w:r>
      <w:r>
        <w:rPr>
          <w:rFonts w:hint="default" w:ascii="仿宋_GB2312" w:hAnsi="仿宋_GB2312" w:eastAsia="仿宋_GB2312" w:cs="仿宋_GB2312"/>
          <w:color w:val="auto"/>
          <w:sz w:val="32"/>
          <w:szCs w:val="32"/>
          <w:highlight w:val="none"/>
          <w:lang w:val="en-US" w:eastAsia="zh-CN"/>
        </w:rPr>
        <w:t>对绩效指标完成情况进行</w:t>
      </w:r>
      <w:r>
        <w:rPr>
          <w:rFonts w:hint="eastAsia" w:ascii="仿宋_GB2312" w:hAnsi="仿宋_GB2312" w:eastAsia="仿宋_GB2312" w:cs="仿宋_GB2312"/>
          <w:color w:val="auto"/>
          <w:sz w:val="32"/>
          <w:szCs w:val="32"/>
          <w:highlight w:val="none"/>
          <w:lang w:val="en-US" w:eastAsia="zh-CN"/>
        </w:rPr>
        <w:t>评价</w:t>
      </w:r>
      <w:r>
        <w:rPr>
          <w:rFonts w:hint="default" w:ascii="仿宋_GB2312" w:hAnsi="仿宋_GB2312" w:eastAsia="仿宋_GB2312" w:cs="仿宋_GB2312"/>
          <w:color w:val="auto"/>
          <w:sz w:val="32"/>
          <w:szCs w:val="32"/>
          <w:highlight w:val="none"/>
          <w:lang w:val="en-US" w:eastAsia="zh-CN"/>
        </w:rPr>
        <w:t>。</w:t>
      </w:r>
    </w:p>
    <w:p w14:paraId="51C4DCA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5、其他相关依据文件及项目单位提供的其他佐证材料等</w:t>
      </w:r>
    </w:p>
    <w:p w14:paraId="2F5AB6E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依据上述评价标准，项目部门需提供的佐证材料为工作资料：部门总结、相关业务资料等。说明材料：针对无直接佐证材料或者综合性的内容，由相关单位、人员出具正式说明。</w:t>
      </w:r>
    </w:p>
    <w:p w14:paraId="700FF58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br w:type="page"/>
      </w:r>
    </w:p>
    <w:p w14:paraId="6DE98FA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（三）绩效评价工作过程。</w:t>
      </w:r>
    </w:p>
    <w:p w14:paraId="12ACFFA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为了提高财政资金分配的科学性、有效性，加强财政专项资金管理，提高支出效益，我单位自项目下达之日高度重视，具体绩效评价工作过程如下:</w:t>
      </w:r>
    </w:p>
    <w:p w14:paraId="1993710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1、确定绩效评价对象和范围</w:t>
      </w:r>
    </w:p>
    <w:p w14:paraId="630E38C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根据绩效评价工作重点及预算管理要求确定了绩效评价对象。我单位从产出、效果和满意度三个方面针对本项目进行评价，评价的范围包括项目具体的数量指标、质量指标、时效指标、成本指标、社会效益指标及满意度指标等。</w:t>
      </w:r>
    </w:p>
    <w:p w14:paraId="6CFA9B13">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2、收集绩效评价相关数据资料</w:t>
      </w:r>
    </w:p>
    <w:p w14:paraId="2659B22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我单位根据需要采取要求相关部门提供资料，包括工作资料、部门总结、相关业务资料、原始凭证、合同、说明材料等。</w:t>
      </w:r>
    </w:p>
    <w:p w14:paraId="417E04F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3、与项目相关科室交换意见</w:t>
      </w:r>
    </w:p>
    <w:p w14:paraId="47999F4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我单位绩效评价工作人员及时将绩效评价结果反馈到相关部门，并就绩效评价结果进行积极的沟通，进一步完善评价报告。</w:t>
      </w:r>
    </w:p>
    <w:p w14:paraId="251815AF">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三、</w:t>
      </w:r>
      <w:r>
        <w:rPr>
          <w:rFonts w:hint="eastAsia" w:ascii="仿宋_GB2312" w:hAnsi="仿宋_GB2312" w:eastAsia="仿宋_GB2312" w:cs="仿宋_GB2312"/>
          <w:b/>
          <w:bCs/>
          <w:color w:val="auto"/>
          <w:sz w:val="32"/>
          <w:szCs w:val="32"/>
          <w:highlight w:val="none"/>
          <w:lang w:val="en-US" w:eastAsia="zh-CN"/>
        </w:rPr>
        <w:t>综合评价情况及评价结论</w:t>
      </w:r>
    </w:p>
    <w:p w14:paraId="31BB425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具有明确的目标，项目实施过程中严格按自治区及地区有关项目管理和经费管理规定执行，合理控制成本、使用资金。我单位领导团结一致，群策群力，明确项目执行计划、考核指标等事项，严格按照相关的管理制度和办法，组织人力、物力完成项目各阶段的任务。项目实施后惠及群众，效果较好。</w:t>
      </w:r>
    </w:p>
    <w:p w14:paraId="0FA96836">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经认真对照《项目支出绩效评价指标体系》，我单位</w:t>
      </w:r>
      <w:r>
        <w:rPr>
          <w:rFonts w:hint="eastAsia" w:ascii="仿宋_GB2312" w:hAnsi="仿宋_GB2312" w:cs="仿宋_GB2312"/>
          <w:color w:val="auto"/>
          <w:sz w:val="32"/>
          <w:szCs w:val="32"/>
          <w:highlight w:val="none"/>
          <w:lang w:val="en-US" w:eastAsia="zh-CN"/>
        </w:rPr>
        <w:t>体育训练参赛备战专项资金</w:t>
      </w:r>
      <w:r>
        <w:rPr>
          <w:rFonts w:hint="eastAsia" w:ascii="仿宋_GB2312" w:hAnsi="仿宋_GB2312" w:eastAsia="仿宋_GB2312" w:cs="仿宋_GB2312"/>
          <w:color w:val="auto"/>
          <w:sz w:val="32"/>
          <w:szCs w:val="32"/>
          <w:highlight w:val="none"/>
          <w:lang w:val="en-US" w:eastAsia="zh-CN"/>
        </w:rPr>
        <w:t>项目指标都较好地达到了相关要求，项目评价得分：100分，评价等级为：优。具体得分情况</w:t>
      </w:r>
      <w:r>
        <w:rPr>
          <w:rFonts w:hint="eastAsia" w:ascii="仿宋_GB2312" w:hAnsi="仿宋_GB2312" w:cs="仿宋_GB2312"/>
          <w:color w:val="auto"/>
          <w:sz w:val="32"/>
          <w:szCs w:val="32"/>
          <w:highlight w:val="none"/>
          <w:lang w:val="en-US" w:eastAsia="zh-CN"/>
        </w:rPr>
        <w:t>附表说明</w:t>
      </w:r>
      <w:r>
        <w:rPr>
          <w:rFonts w:hint="eastAsia" w:ascii="仿宋_GB2312" w:hAnsi="仿宋_GB2312" w:eastAsia="仿宋_GB2312" w:cs="仿宋_GB2312"/>
          <w:color w:val="auto"/>
          <w:sz w:val="32"/>
          <w:szCs w:val="32"/>
          <w:highlight w:val="none"/>
          <w:lang w:val="en-US" w:eastAsia="zh-CN"/>
        </w:rPr>
        <w:t>：</w:t>
      </w:r>
    </w:p>
    <w:p w14:paraId="54E65885">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四、绩效评价指标分析</w:t>
      </w:r>
    </w:p>
    <w:p w14:paraId="1AC3B01B">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（一）项目决策分析</w:t>
      </w:r>
    </w:p>
    <w:p w14:paraId="6B62417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项目决策分析主要是对项目立项、绩效目标及资金投入进行分析。项目决策类指标由</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个二级指标和</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en-US" w:eastAsia="zh-CN"/>
        </w:rPr>
        <w:t>个三级指标构成，该项满分为20分，得分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658EB1B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1、项目立项分析（得分</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en-US" w:eastAsia="zh-CN"/>
        </w:rPr>
        <w:t>分）</w:t>
      </w:r>
    </w:p>
    <w:p w14:paraId="0AE286AE">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（1）立项依据充分性（得分</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分）</w:t>
      </w:r>
    </w:p>
    <w:p w14:paraId="048F802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①项目立项依据是依据依据中心各队伍备战训练计划。</w:t>
      </w:r>
      <w:r>
        <w:rPr>
          <w:rFonts w:hint="eastAsia" w:ascii="仿宋_GB2312" w:hAnsi="仿宋_GB2312" w:eastAsia="仿宋_GB2312" w:cs="仿宋_GB2312"/>
          <w:color w:val="auto"/>
          <w:sz w:val="32"/>
          <w:szCs w:val="32"/>
          <w:highlight w:val="none"/>
          <w:lang w:val="en-US" w:eastAsia="zh-CN"/>
        </w:rPr>
        <w:t>《竞赛规程总则》、《2023-2024赛季全国冬季项目竞赛计划》、《2025年备战任务》</w:t>
      </w:r>
    </w:p>
    <w:p w14:paraId="282684D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②项目立项依据《自治区财政资金使用跟踪反馈管理暂行办法》（新财预﹝2016﹞113)，符合部门或行业发展规划和政策要求；</w:t>
      </w:r>
    </w:p>
    <w:p w14:paraId="5579DD8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（2）立项程序规范性（得分</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分）</w:t>
      </w:r>
    </w:p>
    <w:p w14:paraId="0F2E7A6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①项目按照规定的程序申请设立；</w:t>
      </w:r>
    </w:p>
    <w:p w14:paraId="0074A11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②审批文件、材料符合相关要求；以相关法律、法规、规章以及财政部有关文件等为依据，并收集足够的相关文件及资料，通过现场调研为评估结论提供充分的依据支持。</w:t>
      </w:r>
    </w:p>
    <w:p w14:paraId="32467EB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2、绩效目标分析（得分</w:t>
      </w:r>
      <w:r>
        <w:rPr>
          <w:rFonts w:hint="eastAsia" w:ascii="仿宋_GB2312"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val="en-US" w:eastAsia="zh-CN"/>
        </w:rPr>
        <w:t>分）</w:t>
      </w:r>
    </w:p>
    <w:p w14:paraId="3393815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（1）绩效目标合理性（得分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分）</w:t>
      </w:r>
    </w:p>
    <w:p w14:paraId="3A4F16A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项目设定绩效目标；项目设定一级指标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个，二级指标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w:t>
      </w:r>
      <w:r>
        <w:rPr>
          <w:rFonts w:hint="eastAsia" w:ascii="仿宋_GB2312" w:hAnsi="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lang w:val="en-US" w:eastAsia="zh-CN"/>
        </w:rPr>
        <w:t>个。项目绩效目标与实际工作内容具有相关性；项目预期产出效益和效果符合正常的业绩水平；与预算确定的项目投资额或资金量相匹配。</w:t>
      </w:r>
    </w:p>
    <w:p w14:paraId="7FD9723E">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绩效指标明确性（得分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分）</w:t>
      </w:r>
    </w:p>
    <w:p w14:paraId="581063B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项目实施有明确的年度目标，且将绩效目标细化为一级指标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个，二级指标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w:t>
      </w:r>
      <w:r>
        <w:rPr>
          <w:rFonts w:hint="eastAsia" w:ascii="仿宋_GB2312" w:hAnsi="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lang w:val="en-US" w:eastAsia="zh-CN"/>
        </w:rPr>
        <w:t>个。</w:t>
      </w:r>
    </w:p>
    <w:p w14:paraId="5203EA4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①将项目绩效目标细化分解为具体的绩效指标如下：</w:t>
      </w:r>
    </w:p>
    <w:p w14:paraId="1D9F435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color w:val="auto"/>
          <w:highlight w:val="none"/>
          <w:lang w:val="en-US" w:eastAsia="zh-CN"/>
        </w:rPr>
      </w:pPr>
      <w:r>
        <w:rPr>
          <w:rFonts w:hint="default" w:ascii="仿宋_GB2312" w:hAnsi="仿宋_GB2312" w:eastAsia="仿宋_GB2312" w:cs="仿宋_GB2312"/>
          <w:color w:val="auto"/>
          <w:sz w:val="32"/>
          <w:szCs w:val="32"/>
          <w:highlight w:val="none"/>
          <w:lang w:val="en-US" w:eastAsia="zh-CN"/>
        </w:rPr>
        <w:t>数量指标</w:t>
      </w:r>
      <w:r>
        <w:rPr>
          <w:rFonts w:hint="eastAsia" w:ascii="仿宋_GB2312" w:hAnsi="仿宋_GB2312" w:eastAsia="仿宋_GB2312" w:cs="仿宋_GB2312"/>
          <w:color w:val="auto"/>
          <w:sz w:val="32"/>
          <w:szCs w:val="32"/>
          <w:highlight w:val="none"/>
          <w:lang w:val="en-US" w:eastAsia="zh-CN"/>
        </w:rPr>
        <w:t>：购买运动队专项器材数&gt;=50件</w:t>
      </w:r>
      <w:r>
        <w:rPr>
          <w:rFonts w:hint="eastAsia" w:ascii="仿宋_GB2312" w:hAnsi="仿宋_GB2312" w:cs="仿宋_GB2312"/>
          <w:color w:val="auto"/>
          <w:sz w:val="32"/>
          <w:szCs w:val="32"/>
          <w:highlight w:val="none"/>
          <w:lang w:val="en-US" w:eastAsia="zh-CN"/>
        </w:rPr>
        <w:t>；参加国内外竞赛场次&gt;=15场；承办国内赛事次数&gt;=6次；后备人才培养人数&gt;=60人；外聘人员数量&gt;=8人；全国冠军</w:t>
      </w:r>
      <w:r>
        <w:rPr>
          <w:rFonts w:hint="eastAsia" w:ascii="仿宋_GB2312" w:hAnsi="仿宋_GB2312" w:cs="仿宋_GB2312"/>
          <w:color w:val="auto"/>
          <w:sz w:val="32"/>
          <w:szCs w:val="32"/>
          <w:highlight w:val="none"/>
          <w:lang w:val="en-US" w:eastAsia="zh-CN"/>
        </w:rPr>
        <w:t>赛备战运动员人数</w:t>
      </w:r>
      <w:r>
        <w:rPr>
          <w:rFonts w:hint="default"/>
          <w:color w:val="auto"/>
          <w:highlight w:val="none"/>
          <w:lang w:val="en-US" w:eastAsia="zh-CN"/>
        </w:rPr>
        <w:t>&gt;=120人</w:t>
      </w:r>
      <w:r>
        <w:rPr>
          <w:rFonts w:hint="eastAsia"/>
          <w:color w:val="auto"/>
          <w:highlight w:val="none"/>
          <w:lang w:val="en-US" w:eastAsia="zh-CN"/>
        </w:rPr>
        <w:t>。</w:t>
      </w:r>
    </w:p>
    <w:p w14:paraId="0127CEF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质量指标</w:t>
      </w:r>
      <w:r>
        <w:rPr>
          <w:rFonts w:hint="eastAsia" w:ascii="仿宋_GB2312" w:hAnsi="仿宋_GB2312" w:cs="仿宋_GB2312"/>
          <w:color w:val="auto"/>
          <w:sz w:val="32"/>
          <w:szCs w:val="32"/>
          <w:highlight w:val="none"/>
          <w:lang w:val="en-US" w:eastAsia="zh-CN"/>
        </w:rPr>
        <w:t>：器材、服装验收合格率&gt;=95%；聘用教练员合格率=100%；运动队按时参赛率=100%。</w:t>
      </w:r>
    </w:p>
    <w:p w14:paraId="7A1DAFE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社会效益指标：</w:t>
      </w:r>
      <w:r>
        <w:rPr>
          <w:rFonts w:hint="default" w:ascii="仿宋_GB2312" w:hAnsi="仿宋_GB2312" w:cs="仿宋_GB2312"/>
          <w:color w:val="auto"/>
          <w:sz w:val="32"/>
          <w:szCs w:val="32"/>
          <w:highlight w:val="none"/>
          <w:lang w:val="en-US" w:eastAsia="zh-CN"/>
        </w:rPr>
        <w:t>取得奖牌数量&gt;=50个</w:t>
      </w:r>
      <w:r>
        <w:rPr>
          <w:rFonts w:hint="eastAsia" w:ascii="仿宋_GB2312" w:hAnsi="仿宋_GB2312" w:cs="仿宋_GB2312"/>
          <w:color w:val="auto"/>
          <w:sz w:val="32"/>
          <w:szCs w:val="32"/>
          <w:highlight w:val="none"/>
          <w:lang w:val="en-US" w:eastAsia="zh-CN"/>
        </w:rPr>
        <w:t>。</w:t>
      </w:r>
    </w:p>
    <w:p w14:paraId="583B3C6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服务对象满意度指标</w:t>
      </w:r>
      <w:r>
        <w:rPr>
          <w:rFonts w:hint="eastAsia" w:ascii="仿宋_GB2312" w:hAnsi="仿宋_GB2312" w:eastAsia="仿宋_GB2312" w:cs="仿宋_GB2312"/>
          <w:color w:val="auto"/>
          <w:sz w:val="32"/>
          <w:szCs w:val="32"/>
          <w:highlight w:val="none"/>
          <w:lang w:val="en-US" w:eastAsia="zh-CN"/>
        </w:rPr>
        <w:t>：受益运动员满意度&gt;=90%</w:t>
      </w:r>
      <w:r>
        <w:rPr>
          <w:rFonts w:hint="eastAsia" w:ascii="仿宋_GB2312" w:hAnsi="仿宋_GB2312" w:cs="仿宋_GB2312"/>
          <w:color w:val="auto"/>
          <w:sz w:val="32"/>
          <w:szCs w:val="32"/>
          <w:highlight w:val="none"/>
          <w:lang w:val="en-US" w:eastAsia="zh-CN"/>
        </w:rPr>
        <w:t>。</w:t>
      </w:r>
    </w:p>
    <w:p w14:paraId="79E7E6B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②绩效指标通过清晰、可衡量的指标值予以体现；通过指标设定数与实际完成数对比，各项指标均已完成。</w:t>
      </w:r>
    </w:p>
    <w:p w14:paraId="110BA619">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③与项目目标任务数或计划数相对应。</w:t>
      </w:r>
    </w:p>
    <w:p w14:paraId="48FB4BB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3、资金投入分析（得分6分）</w:t>
      </w:r>
    </w:p>
    <w:p w14:paraId="41DBC01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预算编制科学性（得分3分）：本项目预算</w:t>
      </w:r>
      <w:r>
        <w:rPr>
          <w:rFonts w:hint="eastAsia" w:ascii="仿宋_GB2312" w:hAnsi="仿宋_GB2312" w:cs="仿宋_GB2312"/>
          <w:color w:val="auto"/>
          <w:sz w:val="32"/>
          <w:szCs w:val="32"/>
          <w:highlight w:val="none"/>
          <w:lang w:val="en-US" w:eastAsia="zh-CN"/>
        </w:rPr>
        <w:t>1689.17.17</w:t>
      </w:r>
      <w:r>
        <w:rPr>
          <w:rFonts w:hint="eastAsia" w:ascii="仿宋_GB2312" w:hAnsi="仿宋_GB2312" w:eastAsia="仿宋_GB2312" w:cs="仿宋_GB2312"/>
          <w:color w:val="auto"/>
          <w:sz w:val="32"/>
          <w:szCs w:val="32"/>
          <w:highlight w:val="none"/>
          <w:lang w:val="en-US" w:eastAsia="zh-CN"/>
        </w:rPr>
        <w:t>万元，项目预算内容与项目内容相匹配，预算确定的项目资金量与实际工作完成所需资金量基本相适应。</w:t>
      </w:r>
    </w:p>
    <w:p w14:paraId="3C694FCE">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资金分配合理性（得分3分）：预算资金分配依据充分；资金分配额度与实际工作完成所需资金量相适应。</w:t>
      </w:r>
    </w:p>
    <w:p w14:paraId="7D493173">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（二）过程情况分析</w:t>
      </w:r>
    </w:p>
    <w:p w14:paraId="59CE8A1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项目过程指标由</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个二级指标和</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个三级指标构成，该项满分为20分，得分20分，得分率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%。项目建立了比较健全的配套资金管理制度，且在项目实施过程中能够按照管理执行。</w:t>
      </w:r>
    </w:p>
    <w:p w14:paraId="24EFE2B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1、资金管理分析（得分12分）</w:t>
      </w:r>
    </w:p>
    <w:p w14:paraId="6B8F8C1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（1）资金到位率（得分4分）</w:t>
      </w:r>
    </w:p>
    <w:p w14:paraId="6095C69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资金到位率用以反映和考核资金落实情况对项目实施的总体保障程度。资金到位率=（实际到位资金/预算资金）×100%。本项目实际到位资金</w:t>
      </w:r>
      <w:r>
        <w:rPr>
          <w:rFonts w:hint="eastAsia" w:ascii="仿宋_GB2312" w:hAnsi="仿宋_GB2312" w:cs="仿宋_GB2312"/>
          <w:color w:val="auto"/>
          <w:sz w:val="32"/>
          <w:szCs w:val="32"/>
          <w:highlight w:val="none"/>
          <w:lang w:val="en-US" w:eastAsia="zh-CN"/>
        </w:rPr>
        <w:t>1689.17</w:t>
      </w:r>
      <w:r>
        <w:rPr>
          <w:rFonts w:hint="eastAsia" w:ascii="仿宋_GB2312" w:hAnsi="仿宋_GB2312" w:eastAsia="仿宋_GB2312" w:cs="仿宋_GB2312"/>
          <w:color w:val="auto"/>
          <w:sz w:val="32"/>
          <w:szCs w:val="32"/>
          <w:highlight w:val="none"/>
          <w:lang w:val="en-US" w:eastAsia="zh-CN"/>
        </w:rPr>
        <w:t>万元，预算资金</w:t>
      </w:r>
      <w:r>
        <w:rPr>
          <w:rFonts w:hint="eastAsia" w:ascii="仿宋_GB2312" w:hAnsi="仿宋_GB2312" w:cs="仿宋_GB2312"/>
          <w:color w:val="auto"/>
          <w:sz w:val="32"/>
          <w:szCs w:val="32"/>
          <w:highlight w:val="none"/>
          <w:lang w:val="en-US" w:eastAsia="zh-CN"/>
        </w:rPr>
        <w:t>1689.17</w:t>
      </w:r>
      <w:r>
        <w:rPr>
          <w:rFonts w:hint="eastAsia" w:ascii="仿宋_GB2312" w:hAnsi="仿宋_GB2312" w:eastAsia="仿宋_GB2312" w:cs="仿宋_GB2312"/>
          <w:color w:val="auto"/>
          <w:sz w:val="32"/>
          <w:szCs w:val="32"/>
          <w:highlight w:val="none"/>
          <w:lang w:val="en-US" w:eastAsia="zh-CN"/>
        </w:rPr>
        <w:t>万元，资金到位率100%。</w:t>
      </w:r>
    </w:p>
    <w:p w14:paraId="73B5E5B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（2）预算执行率（得分4分）</w:t>
      </w:r>
    </w:p>
    <w:p w14:paraId="20DC9C69">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预算执行率</w:t>
      </w:r>
      <w:r>
        <w:rPr>
          <w:rFonts w:hint="default" w:ascii="仿宋_GB2312" w:hAnsi="仿宋_GB2312" w:eastAsia="仿宋_GB2312" w:cs="仿宋_GB2312"/>
          <w:color w:val="auto"/>
          <w:sz w:val="32"/>
          <w:szCs w:val="32"/>
          <w:highlight w:val="none"/>
          <w:lang w:val="en-US" w:eastAsia="zh-CN"/>
        </w:rPr>
        <w:t>用以反映或考核项目预算执行情况。预算执行率=（实际支出资金/实际到位资金）×100%。</w:t>
      </w:r>
      <w:r>
        <w:rPr>
          <w:rFonts w:hint="eastAsia" w:ascii="仿宋_GB2312" w:hAnsi="仿宋_GB2312" w:eastAsia="仿宋_GB2312" w:cs="仿宋_GB2312"/>
          <w:color w:val="auto"/>
          <w:sz w:val="32"/>
          <w:szCs w:val="32"/>
          <w:highlight w:val="none"/>
          <w:lang w:val="en-US" w:eastAsia="zh-CN"/>
        </w:rPr>
        <w:t>本项目实际到位资金</w:t>
      </w:r>
      <w:r>
        <w:rPr>
          <w:rFonts w:hint="eastAsia" w:ascii="仿宋_GB2312" w:hAnsi="仿宋_GB2312" w:cs="仿宋_GB2312"/>
          <w:color w:val="auto"/>
          <w:sz w:val="32"/>
          <w:szCs w:val="32"/>
          <w:highlight w:val="none"/>
          <w:lang w:val="en-US" w:eastAsia="zh-CN"/>
        </w:rPr>
        <w:t>1689.17</w:t>
      </w:r>
      <w:r>
        <w:rPr>
          <w:rFonts w:hint="eastAsia" w:ascii="仿宋_GB2312" w:hAnsi="仿宋_GB2312" w:eastAsia="仿宋_GB2312" w:cs="仿宋_GB2312"/>
          <w:color w:val="auto"/>
          <w:sz w:val="32"/>
          <w:szCs w:val="32"/>
          <w:highlight w:val="none"/>
          <w:lang w:val="en-US" w:eastAsia="zh-CN"/>
        </w:rPr>
        <w:t>万元，</w:t>
      </w:r>
      <w:r>
        <w:rPr>
          <w:rFonts w:hint="default" w:ascii="仿宋_GB2312" w:hAnsi="仿宋_GB2312" w:eastAsia="仿宋_GB2312" w:cs="仿宋_GB2312"/>
          <w:color w:val="auto"/>
          <w:sz w:val="32"/>
          <w:szCs w:val="32"/>
          <w:highlight w:val="none"/>
          <w:lang w:val="en-US" w:eastAsia="zh-CN"/>
        </w:rPr>
        <w:t>实际支出资金</w:t>
      </w:r>
      <w:r>
        <w:rPr>
          <w:rFonts w:hint="eastAsia" w:ascii="仿宋_GB2312" w:hAnsi="仿宋_GB2312" w:cs="仿宋_GB2312"/>
          <w:color w:val="auto"/>
          <w:sz w:val="32"/>
          <w:szCs w:val="32"/>
          <w:highlight w:val="none"/>
          <w:lang w:val="en-US" w:eastAsia="zh-CN"/>
        </w:rPr>
        <w:t>1689.17</w:t>
      </w:r>
      <w:r>
        <w:rPr>
          <w:rFonts w:hint="eastAsia" w:ascii="仿宋_GB2312" w:hAnsi="仿宋_GB2312" w:eastAsia="仿宋_GB2312" w:cs="仿宋_GB2312"/>
          <w:color w:val="auto"/>
          <w:sz w:val="32"/>
          <w:szCs w:val="32"/>
          <w:highlight w:val="none"/>
          <w:lang w:val="en-US" w:eastAsia="zh-CN"/>
        </w:rPr>
        <w:t>万元，预算执行率100%。本项目任务已全部完成。</w:t>
      </w:r>
    </w:p>
    <w:p w14:paraId="0F6F54A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（3）资金使用合规性（得分4分）</w:t>
      </w:r>
    </w:p>
    <w:p w14:paraId="412157E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w:t>
      </w:r>
      <w:r>
        <w:rPr>
          <w:rFonts w:hint="default" w:ascii="仿宋_GB2312" w:hAnsi="仿宋_GB2312" w:eastAsia="仿宋_GB2312" w:cs="仿宋_GB2312"/>
          <w:color w:val="auto"/>
          <w:sz w:val="32"/>
          <w:szCs w:val="32"/>
          <w:highlight w:val="none"/>
          <w:lang w:val="en-US" w:eastAsia="zh-CN"/>
        </w:rPr>
        <w:t>资金的拨付有完整的审批程序和手续；符合项目预算批复或合同规定的用途；</w:t>
      </w:r>
      <w:r>
        <w:rPr>
          <w:rFonts w:hint="eastAsia" w:ascii="仿宋_GB2312" w:hAnsi="仿宋_GB2312" w:eastAsia="仿宋_GB2312" w:cs="仿宋_GB2312"/>
          <w:color w:val="auto"/>
          <w:sz w:val="32"/>
          <w:szCs w:val="32"/>
          <w:highlight w:val="none"/>
          <w:lang w:val="en-US" w:eastAsia="zh-CN"/>
        </w:rPr>
        <w:t>不</w:t>
      </w:r>
      <w:r>
        <w:rPr>
          <w:rFonts w:hint="default" w:ascii="仿宋_GB2312" w:hAnsi="仿宋_GB2312" w:eastAsia="仿宋_GB2312" w:cs="仿宋_GB2312"/>
          <w:color w:val="auto"/>
          <w:sz w:val="32"/>
          <w:szCs w:val="32"/>
          <w:highlight w:val="none"/>
          <w:lang w:val="en-US" w:eastAsia="zh-CN"/>
        </w:rPr>
        <w:t>存在截留、挤占、挪用、虚列支出等情况</w:t>
      </w:r>
      <w:r>
        <w:rPr>
          <w:rFonts w:hint="eastAsia" w:ascii="仿宋_GB2312" w:hAnsi="仿宋_GB2312" w:eastAsia="仿宋_GB2312" w:cs="仿宋_GB2312"/>
          <w:color w:val="auto"/>
          <w:sz w:val="32"/>
          <w:szCs w:val="32"/>
          <w:highlight w:val="none"/>
          <w:lang w:val="en-US" w:eastAsia="zh-CN"/>
        </w:rPr>
        <w:t>。</w:t>
      </w:r>
    </w:p>
    <w:p w14:paraId="44A3FA4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2、组织实施分析（得分8分）</w:t>
      </w:r>
    </w:p>
    <w:p w14:paraId="35CC1C2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（1）管理制度健全性（得分4分）</w:t>
      </w:r>
    </w:p>
    <w:p w14:paraId="0CB028B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资金的拨付有完整的审批程序和手续；符合项目预算批复或合同规定的用途；不存在截留、挤占、挪用、虚列支出等情况。</w:t>
      </w:r>
    </w:p>
    <w:p w14:paraId="22EE443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（2）制度执行有效性（得分4分）</w:t>
      </w:r>
    </w:p>
    <w:p w14:paraId="0D6B53D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资金严格按照根据《中华人民共和国预算法》，加强对项目资金的预算执行及日常监督管理，确保每个项目按照规定的用途实施。资金拨付坚持按项目、预算、进度、指定用途拨款，确保财政专项资金规范使用。</w:t>
      </w:r>
    </w:p>
    <w:p w14:paraId="47FC5DA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项目立项依据、实施方案、财务信息等资料齐全并及时归档；项目实施的人员条件、场地设备、信息支撑等落实到位。</w:t>
      </w:r>
    </w:p>
    <w:p w14:paraId="5D22E92B">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（三）产出情况分析</w:t>
      </w:r>
    </w:p>
    <w:p w14:paraId="5C8415B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lang w:val="en-US" w:eastAsia="zh-CN"/>
        </w:rPr>
        <w:t>产出</w:t>
      </w:r>
      <w:r>
        <w:rPr>
          <w:rFonts w:hint="eastAsia" w:ascii="仿宋_GB2312" w:hAnsi="仿宋_GB2312" w:eastAsia="仿宋_GB2312" w:cs="仿宋_GB2312"/>
          <w:color w:val="auto"/>
          <w:sz w:val="32"/>
          <w:szCs w:val="32"/>
          <w:highlight w:val="none"/>
          <w:lang w:val="en-US" w:eastAsia="zh-CN"/>
        </w:rPr>
        <w:t>包括产出数量、产出质量</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个二级指标。该项满分为</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2BD98BB0">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产出数量分析（得分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分）</w:t>
      </w:r>
    </w:p>
    <w:p w14:paraId="69129B9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数量指标：</w:t>
      </w:r>
      <w:r>
        <w:rPr>
          <w:rFonts w:hint="eastAsia" w:ascii="仿宋_GB2312" w:hAnsi="仿宋_GB2312" w:cs="仿宋_GB2312"/>
          <w:color w:val="auto"/>
          <w:sz w:val="32"/>
          <w:szCs w:val="32"/>
          <w:highlight w:val="none"/>
          <w:lang w:val="en-US" w:eastAsia="zh-CN"/>
        </w:rPr>
        <w:t>指标1：</w:t>
      </w:r>
      <w:r>
        <w:rPr>
          <w:rFonts w:hint="eastAsia" w:ascii="仿宋_GB2312" w:hAnsi="仿宋_GB2312" w:eastAsia="仿宋_GB2312" w:cs="仿宋_GB2312"/>
          <w:color w:val="auto"/>
          <w:sz w:val="32"/>
          <w:szCs w:val="32"/>
          <w:highlight w:val="none"/>
          <w:lang w:val="en-US" w:eastAsia="zh-CN"/>
        </w:rPr>
        <w:t>购买运动队专项器材数</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标值：&gt;=50件</w:t>
      </w:r>
      <w:r>
        <w:rPr>
          <w:rFonts w:hint="eastAsia" w:ascii="仿宋_GB2312" w:hAnsi="仿宋_GB2312" w:cs="仿宋_GB2312"/>
          <w:color w:val="auto"/>
          <w:sz w:val="32"/>
          <w:szCs w:val="32"/>
          <w:highlight w:val="none"/>
          <w:lang w:val="en-US" w:eastAsia="zh-CN"/>
        </w:rPr>
        <w:t>,实际完成值50件，指标完成率100%。</w:t>
      </w:r>
    </w:p>
    <w:p w14:paraId="2528C0B6">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指标2：参加国内外竞赛场次，</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标值：&gt;=15场，实际完成值：15场，指标完成率100%。</w:t>
      </w:r>
    </w:p>
    <w:p w14:paraId="50D1C7F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承办国内赛事次数，</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标值：&gt;=6次，实际完成值：6场，指标</w:t>
      </w:r>
      <w:r>
        <w:rPr>
          <w:rFonts w:hint="eastAsia" w:ascii="仿宋_GB2312" w:hAnsi="仿宋_GB2312" w:cs="仿宋_GB2312"/>
          <w:color w:val="auto"/>
          <w:sz w:val="32"/>
          <w:szCs w:val="32"/>
          <w:highlight w:val="none"/>
          <w:lang w:val="en-US" w:eastAsia="zh-CN"/>
        </w:rPr>
        <w:t>完成率100%。</w:t>
      </w:r>
    </w:p>
    <w:p w14:paraId="35ACACBA">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后备人才培养人数，</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标值：&gt;=60人，</w:t>
      </w:r>
      <w:r>
        <w:rPr>
          <w:rFonts w:hint="eastAsia" w:ascii="仿宋_GB2312" w:hAnsi="仿宋_GB2312" w:cs="仿宋_GB2312"/>
          <w:color w:val="auto"/>
          <w:sz w:val="32"/>
          <w:szCs w:val="32"/>
          <w:highlight w:val="none"/>
          <w:lang w:val="en-US" w:eastAsia="zh-CN"/>
        </w:rPr>
        <w:t>实际完成值：60人，</w:t>
      </w:r>
      <w:r>
        <w:rPr>
          <w:rFonts w:hint="eastAsia" w:ascii="仿宋_GB2312" w:hAnsi="仿宋_GB2312" w:cs="仿宋_GB2312"/>
          <w:color w:val="auto"/>
          <w:sz w:val="32"/>
          <w:szCs w:val="32"/>
          <w:highlight w:val="none"/>
          <w:lang w:val="en-US" w:eastAsia="zh-CN"/>
        </w:rPr>
        <w:t>指标完成率100%。</w:t>
      </w:r>
    </w:p>
    <w:p w14:paraId="777352B0">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外聘人员数量，</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标值：&gt;=8人，</w:t>
      </w:r>
      <w:r>
        <w:rPr>
          <w:rFonts w:hint="eastAsia" w:ascii="仿宋_GB2312" w:hAnsi="仿宋_GB2312" w:cs="仿宋_GB2312"/>
          <w:color w:val="auto"/>
          <w:sz w:val="32"/>
          <w:szCs w:val="32"/>
          <w:highlight w:val="none"/>
          <w:lang w:val="en-US" w:eastAsia="zh-CN"/>
        </w:rPr>
        <w:t>实际完成值：8</w:t>
      </w:r>
      <w:r>
        <w:rPr>
          <w:rFonts w:hint="eastAsia" w:ascii="仿宋_GB2312" w:hAnsi="仿宋_GB2312" w:cs="仿宋_GB2312"/>
          <w:color w:val="auto"/>
          <w:sz w:val="32"/>
          <w:szCs w:val="32"/>
          <w:highlight w:val="none"/>
          <w:lang w:val="en-US" w:eastAsia="zh-CN"/>
        </w:rPr>
        <w:t>人，指标完成率100%。</w:t>
      </w:r>
    </w:p>
    <w:p w14:paraId="2CE1D05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全国冠军赛备战运动员人数，</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w:t>
      </w:r>
      <w:r>
        <w:rPr>
          <w:rFonts w:hint="default"/>
          <w:color w:val="auto"/>
          <w:highlight w:val="none"/>
          <w:lang w:val="en-US" w:eastAsia="zh-CN"/>
        </w:rPr>
        <w:t>&gt;=120人</w:t>
      </w:r>
      <w:r>
        <w:rPr>
          <w:rFonts w:hint="eastAsia"/>
          <w:color w:val="auto"/>
          <w:highlight w:val="none"/>
          <w:lang w:val="en-US" w:eastAsia="zh-CN"/>
        </w:rPr>
        <w:t>，</w:t>
      </w:r>
      <w:r>
        <w:rPr>
          <w:rFonts w:hint="eastAsia" w:ascii="仿宋_GB2312" w:hAnsi="仿宋_GB2312" w:cs="仿宋_GB2312"/>
          <w:color w:val="auto"/>
          <w:sz w:val="32"/>
          <w:szCs w:val="32"/>
          <w:highlight w:val="none"/>
          <w:lang w:val="en-US" w:eastAsia="zh-CN"/>
        </w:rPr>
        <w:t>实际完成值：</w:t>
      </w:r>
      <w:r>
        <w:rPr>
          <w:rFonts w:hint="eastAsia" w:ascii="仿宋_GB2312" w:hAnsi="仿宋_GB2312" w:cs="仿宋_GB2312"/>
          <w:color w:val="auto"/>
          <w:sz w:val="32"/>
          <w:szCs w:val="32"/>
          <w:highlight w:val="none"/>
          <w:lang w:val="en-US" w:eastAsia="zh-CN"/>
        </w:rPr>
        <w:t>120人，指标完成率100%。</w:t>
      </w:r>
    </w:p>
    <w:p w14:paraId="00BD8BEA">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产出质量分析（得分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分）</w:t>
      </w:r>
    </w:p>
    <w:p w14:paraId="4861CE16">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质量指标：指标1</w:t>
      </w:r>
      <w:r>
        <w:rPr>
          <w:rFonts w:hint="eastAsia" w:ascii="仿宋_GB2312" w:hAnsi="仿宋_GB2312" w:cs="仿宋_GB2312"/>
          <w:color w:val="auto"/>
          <w:sz w:val="32"/>
          <w:szCs w:val="32"/>
          <w:highlight w:val="none"/>
          <w:lang w:val="en-US" w:eastAsia="zh-CN"/>
        </w:rPr>
        <w:t>：器材、服装验收合格率完成率，</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标值：&gt;=95%；实际完成值95%，指标完成率100%。</w:t>
      </w:r>
    </w:p>
    <w:p w14:paraId="6E0F7E96">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2：聘用教练员合格率，</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标值=100%；实际完成值100%，指标完成率100%。</w:t>
      </w:r>
    </w:p>
    <w:p w14:paraId="185D5D74">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eastAsia" w:ascii="仿宋" w:hAnsi="仿宋" w:eastAsia="仿宋" w:cs="仿宋"/>
          <w:b/>
          <w:bCs/>
          <w:color w:val="auto"/>
          <w:sz w:val="32"/>
          <w:szCs w:val="32"/>
          <w:highlight w:val="none"/>
          <w:lang w:val="zh-TW" w:eastAsia="zh-TW"/>
        </w:rPr>
      </w:pPr>
      <w:r>
        <w:rPr>
          <w:rFonts w:hint="eastAsia" w:ascii="仿宋" w:hAnsi="仿宋" w:eastAsia="仿宋" w:cs="仿宋"/>
          <w:b/>
          <w:bCs/>
          <w:color w:val="auto"/>
          <w:sz w:val="32"/>
          <w:szCs w:val="32"/>
          <w:highlight w:val="none"/>
          <w:lang w:val="zh-TW" w:eastAsia="zh-TW"/>
        </w:rPr>
        <w:t>（</w:t>
      </w:r>
      <w:r>
        <w:rPr>
          <w:rFonts w:hint="eastAsia" w:ascii="仿宋" w:hAnsi="仿宋" w:eastAsia="仿宋" w:cs="仿宋"/>
          <w:b/>
          <w:bCs/>
          <w:color w:val="auto"/>
          <w:sz w:val="32"/>
          <w:szCs w:val="32"/>
          <w:highlight w:val="none"/>
          <w:lang w:val="en-US" w:eastAsia="zh-CN"/>
        </w:rPr>
        <w:t>四</w:t>
      </w:r>
      <w:r>
        <w:rPr>
          <w:rFonts w:hint="eastAsia" w:ascii="仿宋" w:hAnsi="仿宋" w:eastAsia="仿宋" w:cs="仿宋"/>
          <w:b/>
          <w:bCs/>
          <w:color w:val="auto"/>
          <w:sz w:val="32"/>
          <w:szCs w:val="32"/>
          <w:highlight w:val="none"/>
          <w:lang w:val="zh-TW" w:eastAsia="zh-TW"/>
        </w:rPr>
        <w:t>）</w:t>
      </w:r>
      <w:r>
        <w:rPr>
          <w:rFonts w:hint="eastAsia" w:ascii="仿宋" w:hAnsi="仿宋" w:eastAsia="仿宋" w:cs="仿宋"/>
          <w:b/>
          <w:bCs/>
          <w:color w:val="auto"/>
          <w:sz w:val="32"/>
          <w:szCs w:val="32"/>
          <w:highlight w:val="none"/>
          <w:lang w:val="en-US" w:eastAsia="zh-CN"/>
        </w:rPr>
        <w:t>成本</w:t>
      </w:r>
      <w:r>
        <w:rPr>
          <w:rFonts w:hint="eastAsia" w:ascii="仿宋" w:hAnsi="仿宋" w:eastAsia="仿宋" w:cs="仿宋"/>
          <w:b/>
          <w:bCs/>
          <w:color w:val="auto"/>
          <w:sz w:val="32"/>
          <w:szCs w:val="32"/>
          <w:highlight w:val="none"/>
          <w:lang w:val="zh-TW" w:eastAsia="zh-TW"/>
        </w:rPr>
        <w:t>情况分析</w:t>
      </w:r>
    </w:p>
    <w:p w14:paraId="4C94454A">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1、</w:t>
      </w:r>
      <w:r>
        <w:rPr>
          <w:rFonts w:hint="eastAsia" w:ascii="仿宋_GB2312" w:hAnsi="仿宋_GB2312" w:cs="仿宋_GB2312"/>
          <w:color w:val="auto"/>
          <w:sz w:val="32"/>
          <w:szCs w:val="32"/>
          <w:highlight w:val="none"/>
          <w:lang w:val="en-US" w:eastAsia="zh-CN"/>
        </w:rPr>
        <w:t>成本</w:t>
      </w:r>
      <w:r>
        <w:rPr>
          <w:rFonts w:hint="eastAsia" w:ascii="仿宋_GB2312" w:hAnsi="仿宋_GB2312" w:cs="仿宋_GB2312"/>
          <w:color w:val="auto"/>
          <w:sz w:val="32"/>
          <w:szCs w:val="32"/>
          <w:highlight w:val="none"/>
          <w:lang w:val="en-US" w:eastAsia="zh-CN"/>
        </w:rPr>
        <w:t>指标分析（得分0分）</w:t>
      </w:r>
    </w:p>
    <w:p w14:paraId="0B2BC6A5">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成本指标</w:t>
      </w:r>
      <w:r>
        <w:rPr>
          <w:rFonts w:hint="eastAsia" w:ascii="仿宋" w:hAnsi="仿宋" w:eastAsia="仿宋" w:cs="仿宋"/>
          <w:b w:val="0"/>
          <w:bCs w:val="0"/>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无此项指标</w:t>
      </w:r>
      <w:r>
        <w:rPr>
          <w:rFonts w:hint="eastAsia" w:ascii="仿宋_GB2312" w:hAnsi="仿宋_GB2312" w:eastAsia="仿宋_GB2312" w:cs="仿宋_GB2312"/>
          <w:color w:val="auto"/>
          <w:sz w:val="32"/>
          <w:szCs w:val="32"/>
          <w:highlight w:val="none"/>
          <w:lang w:val="en-US" w:eastAsia="zh-CN"/>
        </w:rPr>
        <w:t>。</w:t>
      </w:r>
    </w:p>
    <w:p w14:paraId="059DA669">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eastAsia" w:ascii="仿宋" w:hAnsi="仿宋" w:eastAsia="仿宋" w:cs="仿宋"/>
          <w:b/>
          <w:bCs/>
          <w:color w:val="auto"/>
          <w:sz w:val="32"/>
          <w:szCs w:val="32"/>
          <w:highlight w:val="none"/>
          <w:lang w:val="zh-TW" w:eastAsia="zh-CN"/>
        </w:rPr>
      </w:pPr>
      <w:r>
        <w:rPr>
          <w:rFonts w:hint="eastAsia" w:ascii="仿宋" w:hAnsi="仿宋" w:eastAsia="仿宋" w:cs="仿宋"/>
          <w:b/>
          <w:bCs/>
          <w:color w:val="auto"/>
          <w:sz w:val="32"/>
          <w:szCs w:val="32"/>
          <w:highlight w:val="none"/>
          <w:lang w:val="zh-TW" w:eastAsia="zh-CN"/>
        </w:rPr>
        <w:t>（</w:t>
      </w:r>
      <w:r>
        <w:rPr>
          <w:rFonts w:hint="eastAsia" w:ascii="仿宋" w:hAnsi="仿宋" w:eastAsia="仿宋" w:cs="仿宋"/>
          <w:b/>
          <w:bCs/>
          <w:color w:val="auto"/>
          <w:sz w:val="32"/>
          <w:szCs w:val="32"/>
          <w:highlight w:val="none"/>
          <w:lang w:val="en-US" w:eastAsia="zh-CN"/>
        </w:rPr>
        <w:t>五）</w:t>
      </w:r>
      <w:r>
        <w:rPr>
          <w:rFonts w:hint="eastAsia" w:ascii="仿宋" w:hAnsi="仿宋" w:eastAsia="仿宋" w:cs="仿宋"/>
          <w:b/>
          <w:bCs/>
          <w:color w:val="auto"/>
          <w:sz w:val="32"/>
          <w:szCs w:val="32"/>
          <w:highlight w:val="none"/>
          <w:lang w:val="zh-TW" w:eastAsia="zh-CN"/>
        </w:rPr>
        <w:t>项目</w:t>
      </w:r>
      <w:r>
        <w:rPr>
          <w:rFonts w:hint="eastAsia" w:ascii="仿宋" w:hAnsi="仿宋" w:eastAsia="仿宋" w:cs="仿宋"/>
          <w:b/>
          <w:bCs/>
          <w:color w:val="auto"/>
          <w:sz w:val="32"/>
          <w:szCs w:val="32"/>
          <w:highlight w:val="none"/>
          <w:lang w:val="en-US" w:eastAsia="zh-CN"/>
        </w:rPr>
        <w:t>满意度</w:t>
      </w:r>
      <w:r>
        <w:rPr>
          <w:rFonts w:hint="eastAsia" w:ascii="仿宋" w:hAnsi="仿宋" w:eastAsia="仿宋" w:cs="仿宋"/>
          <w:b/>
          <w:bCs/>
          <w:color w:val="auto"/>
          <w:sz w:val="32"/>
          <w:szCs w:val="32"/>
          <w:highlight w:val="none"/>
          <w:lang w:val="zh-TW" w:eastAsia="zh-CN"/>
        </w:rPr>
        <w:t>情况</w:t>
      </w:r>
    </w:p>
    <w:p w14:paraId="1FC186BC">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lang w:val="en-US" w:eastAsia="zh-CN"/>
        </w:rPr>
        <w:t>效益</w:t>
      </w:r>
      <w:r>
        <w:rPr>
          <w:rFonts w:hint="eastAsia" w:ascii="仿宋_GB2312" w:hAnsi="仿宋_GB2312" w:eastAsia="仿宋_GB2312" w:cs="仿宋_GB2312"/>
          <w:color w:val="auto"/>
          <w:sz w:val="32"/>
          <w:szCs w:val="32"/>
          <w:highlight w:val="none"/>
          <w:lang w:val="en-US" w:eastAsia="zh-CN"/>
        </w:rPr>
        <w:t>包括</w:t>
      </w:r>
      <w:r>
        <w:rPr>
          <w:rFonts w:hint="eastAsia" w:ascii="仿宋_GB2312" w:hAnsi="仿宋_GB2312" w:cs="仿宋_GB2312"/>
          <w:color w:val="auto"/>
          <w:sz w:val="32"/>
          <w:szCs w:val="32"/>
          <w:highlight w:val="none"/>
          <w:lang w:val="en-US" w:eastAsia="zh-CN"/>
        </w:rPr>
        <w:t>社会效益和</w:t>
      </w:r>
      <w:r>
        <w:rPr>
          <w:rFonts w:hint="eastAsia" w:ascii="仿宋_GB2312" w:hAnsi="仿宋_GB2312" w:eastAsia="仿宋_GB2312" w:cs="仿宋_GB2312"/>
          <w:color w:val="auto"/>
          <w:sz w:val="32"/>
          <w:szCs w:val="32"/>
          <w:highlight w:val="none"/>
          <w:lang w:val="en-US" w:eastAsia="zh-CN"/>
        </w:rPr>
        <w:t>满意度</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个</w:t>
      </w:r>
      <w:r>
        <w:rPr>
          <w:rFonts w:hint="eastAsia" w:ascii="仿宋_GB2312" w:hAnsi="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val="en-US" w:eastAsia="zh-CN"/>
        </w:rPr>
        <w:t>级指标。该项满分为30 分，得分</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　</w:t>
      </w:r>
      <w:r>
        <w:rPr>
          <w:rFonts w:hint="eastAsia" w:ascii="仿宋_GB2312" w:hAnsi="仿宋_GB2312" w:eastAsia="仿宋_GB2312" w:cs="仿宋_GB2312"/>
          <w:color w:val="auto"/>
          <w:sz w:val="32"/>
          <w:szCs w:val="32"/>
          <w:highlight w:val="none"/>
          <w:lang w:val="en-US" w:eastAsia="zh-CN"/>
        </w:rPr>
        <w:tab/>
      </w:r>
    </w:p>
    <w:p w14:paraId="00D0AC34">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实施效益（得分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分）</w:t>
      </w:r>
    </w:p>
    <w:p w14:paraId="6054040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color w:val="auto"/>
          <w:highlight w:val="none"/>
          <w:lang w:eastAsia="zh-CN"/>
        </w:rPr>
      </w:pPr>
      <w:r>
        <w:rPr>
          <w:rFonts w:hint="eastAsia" w:ascii="仿宋_GB2312" w:hAnsi="仿宋_GB2312" w:eastAsia="仿宋_GB2312" w:cs="仿宋_GB2312"/>
          <w:color w:val="auto"/>
          <w:sz w:val="32"/>
          <w:szCs w:val="32"/>
          <w:highlight w:val="none"/>
          <w:lang w:val="en-US" w:eastAsia="zh-CN"/>
        </w:rPr>
        <w:t>经济效益指标：无此项指标。</w:t>
      </w:r>
    </w:p>
    <w:p w14:paraId="3E87A470">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社会效益指标：</w:t>
      </w:r>
      <w:r>
        <w:rPr>
          <w:rFonts w:hint="eastAsia" w:ascii="仿宋_GB2312" w:hAnsi="仿宋_GB2312" w:cs="仿宋_GB2312"/>
          <w:color w:val="auto"/>
          <w:sz w:val="32"/>
          <w:szCs w:val="32"/>
          <w:highlight w:val="none"/>
          <w:lang w:val="en-US" w:eastAsia="zh-CN"/>
        </w:rPr>
        <w:t>取得奖牌数量</w:t>
      </w:r>
      <w:r>
        <w:rPr>
          <w:rFonts w:hint="eastAsia" w:ascii="仿宋_GB2312" w:hAnsi="仿宋_GB2312" w:eastAsia="仿宋_GB2312" w:cs="仿宋_GB2312"/>
          <w:color w:val="auto"/>
          <w:sz w:val="32"/>
          <w:szCs w:val="32"/>
          <w:highlight w:val="none"/>
          <w:lang w:val="en-US" w:eastAsia="zh-CN"/>
        </w:rPr>
        <w:t>，指标值&gt;=50个；实际完成值50个，指标完成率100%。</w:t>
      </w:r>
    </w:p>
    <w:p w14:paraId="7162B19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生态效益指标</w:t>
      </w:r>
      <w:r>
        <w:rPr>
          <w:rFonts w:hint="eastAsia" w:ascii="仿宋_GB2312" w:hAnsi="仿宋_GB2312" w:eastAsia="仿宋_GB2312" w:cs="仿宋_GB2312"/>
          <w:color w:val="auto"/>
          <w:sz w:val="32"/>
          <w:szCs w:val="32"/>
          <w:highlight w:val="none"/>
          <w:lang w:val="en-US" w:eastAsia="zh-CN"/>
        </w:rPr>
        <w:t>：无此项指标。</w:t>
      </w:r>
    </w:p>
    <w:p w14:paraId="39814AA8">
      <w:pPr>
        <w:pStyle w:val="5"/>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可持续影响指标：无此项指标</w:t>
      </w:r>
      <w:r>
        <w:rPr>
          <w:rFonts w:hint="eastAsia" w:ascii="仿宋_GB2312" w:hAnsi="仿宋_GB2312" w:cs="仿宋_GB2312"/>
          <w:color w:val="auto"/>
          <w:sz w:val="32"/>
          <w:szCs w:val="32"/>
          <w:highlight w:val="none"/>
          <w:lang w:val="en-US" w:eastAsia="zh-CN"/>
        </w:rPr>
        <w:t>。</w:t>
      </w:r>
    </w:p>
    <w:p w14:paraId="1F159E1A">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2、满意度（得分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分）</w:t>
      </w:r>
    </w:p>
    <w:p w14:paraId="787BE548">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满意度指标：指标：</w:t>
      </w:r>
      <w:r>
        <w:rPr>
          <w:rFonts w:hint="eastAsia" w:ascii="仿宋_GB2312" w:hAnsi="仿宋_GB2312" w:cs="仿宋_GB2312"/>
          <w:color w:val="auto"/>
          <w:sz w:val="32"/>
          <w:szCs w:val="32"/>
          <w:highlight w:val="none"/>
          <w:lang w:val="en-US" w:eastAsia="zh-CN"/>
        </w:rPr>
        <w:t>受益运动员满意度</w:t>
      </w:r>
      <w:r>
        <w:rPr>
          <w:rFonts w:hint="eastAsia" w:ascii="仿宋_GB2312" w:hAnsi="仿宋_GB2312" w:eastAsia="仿宋_GB2312" w:cs="仿宋_GB2312"/>
          <w:color w:val="auto"/>
          <w:sz w:val="32"/>
          <w:szCs w:val="32"/>
          <w:highlight w:val="none"/>
          <w:lang w:val="en-US" w:eastAsia="zh-CN"/>
        </w:rPr>
        <w:t>，指标值：</w:t>
      </w:r>
      <w:r>
        <w:rPr>
          <w:rFonts w:hint="eastAsia" w:ascii="仿宋_GB2312" w:hAnsi="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lang w:val="en-US" w:eastAsia="zh-CN"/>
        </w:rPr>
        <w:t>%，实际完成值</w:t>
      </w:r>
      <w:r>
        <w:rPr>
          <w:rFonts w:hint="eastAsia" w:ascii="仿宋_GB2312" w:hAnsi="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lang w:val="en-US" w:eastAsia="zh-CN"/>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1EEF29A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00" w:firstLineChars="200"/>
        <w:textAlignment w:val="auto"/>
        <w:rPr>
          <w:rFonts w:hint="eastAsia" w:ascii="黑体" w:hAnsi="黑体" w:eastAsia="黑体"/>
          <w:color w:val="auto"/>
          <w:highlight w:val="none"/>
        </w:rPr>
      </w:pPr>
      <w:r>
        <w:rPr>
          <w:rFonts w:hint="eastAsia" w:ascii="黑体" w:hAnsi="黑体" w:eastAsia="黑体"/>
          <w:color w:val="auto"/>
          <w:highlight w:val="none"/>
          <w:lang w:val="en-US" w:eastAsia="zh-CN"/>
        </w:rPr>
        <w:t>五、</w:t>
      </w:r>
      <w:r>
        <w:rPr>
          <w:rFonts w:hint="eastAsia" w:ascii="黑体" w:hAnsi="黑体" w:eastAsia="黑体"/>
          <w:color w:val="auto"/>
          <w:highlight w:val="none"/>
        </w:rPr>
        <w:t>主要经验及做法、存在的问题及原因分析</w:t>
      </w:r>
    </w:p>
    <w:p w14:paraId="24141A5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0"/>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（一）主要经验及做法</w:t>
      </w:r>
    </w:p>
    <w:p w14:paraId="26D8D48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1. 制度先行，闭环管理</w:t>
      </w:r>
    </w:p>
    <w:p w14:paraId="6AEC4D4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严格执行自治区财政支出绩效评价与体育专项资金管理规定，建立预算申报—执行监控—绩效自评—整改提升闭环流程，明确资金使用范围、审批权限与内控节点，确保专款专用、合规高效。</w:t>
      </w:r>
    </w:p>
    <w:p w14:paraId="69F89C1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2. 聚焦备战，精准投入</w:t>
      </w:r>
    </w:p>
    <w:p w14:paraId="53BE56A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资金优先保障重点冰雪项目训练、外训外赛、器材装备更新、科医保障与体能强化，紧扣全运会、冬运会等重大赛事备战需求，提升竞技实力与参赛保障水平。</w:t>
      </w:r>
    </w:p>
    <w:p w14:paraId="3D389F3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3. 统筹资源，协同保障</w:t>
      </w:r>
    </w:p>
    <w:p w14:paraId="0B95A2E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联动自治区体育局、财政、场馆运营等单位，整合场地、教练、科研、医疗资源，形成训练—科研—康复—参赛一体化支撑体系，提升资金使用综合效益。</w:t>
      </w:r>
    </w:p>
    <w:p w14:paraId="4B2F65EA">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4. 绩效导向，过程管控</w:t>
      </w:r>
    </w:p>
    <w:p w14:paraId="59994CD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细化量化绩效指标，强化执行跟踪与动态调整，定期开展资金使用核查与效益分析，及时纠偏，保障预算执行率与目标达成度。</w:t>
      </w:r>
    </w:p>
    <w:p w14:paraId="564A219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5. 人才为本，长效培育</w:t>
      </w:r>
    </w:p>
    <w:p w14:paraId="18A9B1D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兼顾一线备战与后备人才培养，支持教练员培训、青少年选材与梯队建设，夯实新疆冬季运动可持续发展基础。</w:t>
      </w:r>
    </w:p>
    <w:p w14:paraId="21174E1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firstLine="320" w:firstLineChars="1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（二）存在的问题</w:t>
      </w:r>
    </w:p>
    <w:p w14:paraId="48FFD3C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1. 预算编制精准度不足</w:t>
      </w:r>
    </w:p>
    <w:p w14:paraId="75A3D26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部分年度预算与实际备战节奏、外训外赛计划、器材采购周期匹配度不高，存在执行偏慢、年末集中支付、少量结转结余现象。</w:t>
      </w:r>
    </w:p>
    <w:p w14:paraId="5CB3D1E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2. 资金使用精细化水平有待提升</w:t>
      </w:r>
    </w:p>
    <w:p w14:paraId="1D3FCDD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个别支出科目归类不够清晰，训练耗材、科医服务、赛事差旅等边界界定不够细致，核算与归集规范性需加强。</w:t>
      </w:r>
    </w:p>
    <w:p w14:paraId="1452B69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3.绩效指标与评价体系有待完善</w:t>
      </w:r>
    </w:p>
    <w:p w14:paraId="3111157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部分产出与效益指标偏定性、可量化程度不足，长期效益（人才留存、项目突破、品牌提升）跟踪评价不够系统。</w:t>
      </w:r>
    </w:p>
    <w:p w14:paraId="4B6147B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有关建议</w:t>
      </w:r>
    </w:p>
    <w:p w14:paraId="31AE0F1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根据中心体育训练参赛备战专项资金的整体目标和实际需求，制定合理的资金分配方案，确保在不同项目、不同层次的赛事活动中合理分配，兼顾公平</w:t>
      </w:r>
      <w:bookmarkStart w:id="0" w:name="_GoBack"/>
      <w:bookmarkEnd w:id="0"/>
      <w:r>
        <w:rPr>
          <w:rFonts w:hint="eastAsia" w:ascii="仿宋_GB2312" w:hAnsi="仿宋_GB2312" w:cs="仿宋_GB2312"/>
          <w:color w:val="auto"/>
          <w:sz w:val="32"/>
          <w:szCs w:val="32"/>
          <w:highlight w:val="none"/>
          <w:lang w:val="en-US" w:eastAsia="zh-CN"/>
        </w:rPr>
        <w:t>与效率，并积极与政府相关部门沟通，强调中心冰雪体育赛事活动对培养人才、促进冰雪项目社会发展的重要性，争取更多专项财政资金的支持，</w:t>
      </w:r>
    </w:p>
    <w:p w14:paraId="1B47F2E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七、</w:t>
      </w:r>
      <w:r>
        <w:rPr>
          <w:rFonts w:hint="eastAsia" w:ascii="黑体" w:hAnsi="黑体" w:eastAsia="黑体" w:cs="黑体"/>
          <w:color w:val="auto"/>
          <w:sz w:val="32"/>
          <w:szCs w:val="32"/>
          <w:highlight w:val="none"/>
        </w:rPr>
        <w:t>其他需要说明的问题</w:t>
      </w:r>
    </w:p>
    <w:p w14:paraId="46BB7003">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color w:val="auto"/>
          <w:highlight w:val="none"/>
        </w:rPr>
      </w:pPr>
      <w:r>
        <w:rPr>
          <w:rFonts w:hint="eastAsia" w:ascii="仿宋_GB2312" w:hAnsi="仿宋_GB2312" w:eastAsia="仿宋_GB2312" w:cs="仿宋_GB2312"/>
          <w:color w:val="auto"/>
          <w:sz w:val="32"/>
          <w:szCs w:val="32"/>
          <w:highlight w:val="none"/>
          <w:lang w:val="en-US" w:eastAsia="zh-CN"/>
        </w:rPr>
        <w:t>后期我单位将对项目进行总结，在评价工作过程中遇到的问题及政策与制度完善以书面材料等形式进行备案并妥善保管，今后工作中我单位将继续加强财务管理，严格财务审核，提高财务的精细化管理，并按照政府信息公开有关规定，积极推进评价结果和评价报告等绩效信息的公开，加强社会和舆论监督，提高财政资金使用透明度，不断提高为民服务效率，切实提升群众满意度。</w:t>
      </w:r>
    </w:p>
    <w:sectPr>
      <w:pgSz w:w="11906" w:h="16838"/>
      <w:pgMar w:top="1984" w:right="1531" w:bottom="1701" w:left="1531" w:header="737" w:footer="850" w:gutter="0"/>
      <w:cols w:space="0" w:num="1"/>
      <w:rtlGutter w:val="0"/>
      <w:docGrid w:type="lines"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B44B5E"/>
    <w:multiLevelType w:val="singleLevel"/>
    <w:tmpl w:val="27B44B5E"/>
    <w:lvl w:ilvl="0" w:tentative="0">
      <w:start w:val="1"/>
      <w:numFmt w:val="decimal"/>
      <w:suff w:val="nothing"/>
      <w:lvlText w:val="%1、"/>
      <w:lvlJc w:val="left"/>
    </w:lvl>
  </w:abstractNum>
  <w:abstractNum w:abstractNumId="1">
    <w:nsid w:val="39922693"/>
    <w:multiLevelType w:val="singleLevel"/>
    <w:tmpl w:val="39922693"/>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21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MWJjYzE4ODNiNThkZWIwZDQzYTExYzlhYzg5MTQifQ=="/>
  </w:docVars>
  <w:rsids>
    <w:rsidRoot w:val="56DF6C36"/>
    <w:rsid w:val="009F74D0"/>
    <w:rsid w:val="03304250"/>
    <w:rsid w:val="057E6C6F"/>
    <w:rsid w:val="05E6169F"/>
    <w:rsid w:val="09743699"/>
    <w:rsid w:val="12EA65EE"/>
    <w:rsid w:val="14E47037"/>
    <w:rsid w:val="15CE2278"/>
    <w:rsid w:val="166626FB"/>
    <w:rsid w:val="16E66E3E"/>
    <w:rsid w:val="1B2572C5"/>
    <w:rsid w:val="1BF35E00"/>
    <w:rsid w:val="1C9F7D88"/>
    <w:rsid w:val="1E0E49D3"/>
    <w:rsid w:val="22FB0F64"/>
    <w:rsid w:val="23533E4B"/>
    <w:rsid w:val="2A846AAC"/>
    <w:rsid w:val="31EE5C53"/>
    <w:rsid w:val="394012FE"/>
    <w:rsid w:val="39AE7B43"/>
    <w:rsid w:val="3A5E212D"/>
    <w:rsid w:val="3AA528F0"/>
    <w:rsid w:val="3C1F3318"/>
    <w:rsid w:val="3E6E7AA7"/>
    <w:rsid w:val="435F1167"/>
    <w:rsid w:val="4EA40E82"/>
    <w:rsid w:val="50E926B1"/>
    <w:rsid w:val="51373C80"/>
    <w:rsid w:val="515C4CD0"/>
    <w:rsid w:val="538452A3"/>
    <w:rsid w:val="551F668B"/>
    <w:rsid w:val="564E08D4"/>
    <w:rsid w:val="56DF6C36"/>
    <w:rsid w:val="57785D2A"/>
    <w:rsid w:val="58E75F2E"/>
    <w:rsid w:val="59CC6234"/>
    <w:rsid w:val="5C3D2F98"/>
    <w:rsid w:val="5F5407BB"/>
    <w:rsid w:val="628F4B42"/>
    <w:rsid w:val="62BB6808"/>
    <w:rsid w:val="62CF5E0F"/>
    <w:rsid w:val="63654AA2"/>
    <w:rsid w:val="67687A02"/>
    <w:rsid w:val="6D7F5857"/>
    <w:rsid w:val="6EA7077F"/>
    <w:rsid w:val="6F736745"/>
    <w:rsid w:val="6FDA17BC"/>
    <w:rsid w:val="712908DC"/>
    <w:rsid w:val="718F50E7"/>
    <w:rsid w:val="73B76D99"/>
    <w:rsid w:val="77A80A1E"/>
    <w:rsid w:val="78191BAF"/>
    <w:rsid w:val="781A02CD"/>
    <w:rsid w:val="7A7430CC"/>
    <w:rsid w:val="7A765096"/>
    <w:rsid w:val="7B4F7695"/>
    <w:rsid w:val="7B5567E1"/>
    <w:rsid w:val="7C672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autoRedefine/>
    <w:qFormat/>
    <w:uiPriority w:val="0"/>
    <w:pPr>
      <w:keepNext/>
      <w:keepLines/>
      <w:spacing w:beforeLines="0" w:beforeAutospacing="0" w:afterLines="0" w:afterAutospacing="0" w:line="600" w:lineRule="exact"/>
      <w:ind w:firstLine="627" w:firstLineChars="200"/>
      <w:outlineLvl w:val="0"/>
    </w:pPr>
    <w:rPr>
      <w:rFonts w:ascii="Calibri" w:hAnsi="Calibri" w:eastAsia="楷体" w:cs="Times New Roman"/>
      <w:b/>
      <w:kern w:val="44"/>
    </w:rPr>
  </w:style>
  <w:style w:type="paragraph" w:styleId="3">
    <w:name w:val="heading 3"/>
    <w:basedOn w:val="1"/>
    <w:next w:val="1"/>
    <w:autoRedefine/>
    <w:unhideWhenUsed/>
    <w:qFormat/>
    <w:uiPriority w:val="9"/>
    <w:pPr>
      <w:keepNext/>
      <w:widowControl/>
      <w:spacing w:before="240" w:after="60"/>
      <w:jc w:val="left"/>
      <w:outlineLvl w:val="2"/>
    </w:pPr>
    <w:rPr>
      <w:rFonts w:ascii="Cambria" w:hAnsi="Cambria"/>
      <w:b/>
      <w:bCs/>
      <w:kern w:val="0"/>
      <w:szCs w:val="26"/>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annotation text"/>
    <w:basedOn w:val="1"/>
    <w:autoRedefine/>
    <w:unhideWhenUsed/>
    <w:qFormat/>
    <w:uiPriority w:val="99"/>
    <w:pPr>
      <w:jc w:val="left"/>
    </w:pPr>
  </w:style>
  <w:style w:type="paragraph" w:styleId="5">
    <w:name w:val="Body Text Indent 2"/>
    <w:basedOn w:val="1"/>
    <w:autoRedefine/>
    <w:qFormat/>
    <w:uiPriority w:val="0"/>
    <w:pPr>
      <w:spacing w:line="480" w:lineRule="auto"/>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7305</Words>
  <Characters>7661</Characters>
  <Lines>0</Lines>
  <Paragraphs>0</Paragraphs>
  <TotalTime>4</TotalTime>
  <ScaleCrop>false</ScaleCrop>
  <LinksUpToDate>false</LinksUpToDate>
  <CharactersWithSpaces>7680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2024-04-08T08:20:00Z</dcterms:created>
  <dc:creator>Pari</dc:creator>
  <cp:lastModifiedBy>左先生</cp:lastModifiedBy>
  <cp:lastPrinted>2025-03-19T05:05:00Z</cp:lastPrinted>
  <dcterms:modified xsi:type="dcterms:W3CDTF">2026-03-25T03:47:23Z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040B309EA8EB424382FC4FE5360A9745_13</vt:lpwstr>
  </property>
  <property fmtid="{D5CDD505-2E9C-101B-9397-08002B2CF9AE}" pid="4" name="KSOTemplateDocerSaveRecord">
    <vt:lpwstr>eyJoZGlkIjoiNDViN2Y4ODlkMDA0YmMxNGIwZWQzNjA4YTFjYmU5YmIiLCJ1c2VySWQiOiIzMTUyMzYyMTYifQ==</vt:lpwstr>
  </property>
</Properties>
</file>