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A704D">
      <w:pPr>
        <w:pageBreakBefore w:val="0"/>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Arial"/>
          <w:b/>
          <w:bCs/>
          <w:color w:val="auto"/>
          <w:sz w:val="36"/>
          <w:szCs w:val="36"/>
          <w:highlight w:val="none"/>
        </w:rPr>
      </w:pPr>
    </w:p>
    <w:p w14:paraId="624A3D14">
      <w:pPr>
        <w:pageBreakBefore w:val="0"/>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b/>
          <w:bCs/>
          <w:color w:val="auto"/>
          <w:sz w:val="44"/>
          <w:szCs w:val="44"/>
          <w:highlight w:val="none"/>
        </w:rPr>
      </w:pPr>
      <w:r>
        <w:rPr>
          <w:rFonts w:hint="eastAsia" w:ascii="方正小标宋简体" w:hAnsi="方正小标宋简体" w:eastAsia="方正小标宋简体" w:cs="方正小标宋简体"/>
          <w:b/>
          <w:bCs/>
          <w:color w:val="auto"/>
          <w:sz w:val="44"/>
          <w:szCs w:val="44"/>
          <w:highlight w:val="none"/>
        </w:rPr>
        <w:t>项目支出绩效评价报告</w:t>
      </w:r>
    </w:p>
    <w:p w14:paraId="01E3B5A8">
      <w:pPr>
        <w:pageBreakBefore w:val="0"/>
        <w:kinsoku/>
        <w:wordWrap/>
        <w:overflowPunct/>
        <w:topLinePunct w:val="0"/>
        <w:autoSpaceDE/>
        <w:autoSpaceDN/>
        <w:bidi w:val="0"/>
        <w:adjustRightInd/>
        <w:snapToGrid/>
        <w:spacing w:line="600" w:lineRule="exact"/>
        <w:ind w:leftChars="0"/>
        <w:jc w:val="center"/>
        <w:textAlignment w:val="auto"/>
        <w:rPr>
          <w:rFonts w:hint="eastAsia" w:ascii="Times New Roman" w:hAnsi="宋体" w:cs="宋体"/>
          <w:color w:val="auto"/>
          <w:kern w:val="0"/>
          <w:sz w:val="36"/>
          <w:szCs w:val="36"/>
          <w:highlight w:val="none"/>
          <w:lang w:eastAsia="zh-CN"/>
        </w:rPr>
      </w:pPr>
      <w:r>
        <w:rPr>
          <w:rFonts w:hint="eastAsia" w:ascii="Times New Roman" w:hAnsi="宋体" w:cs="宋体"/>
          <w:color w:val="auto"/>
          <w:kern w:val="0"/>
          <w:sz w:val="36"/>
          <w:szCs w:val="36"/>
          <w:highlight w:val="none"/>
          <w:lang w:eastAsia="zh-CN"/>
        </w:rPr>
        <w:t>（</w:t>
      </w:r>
      <w:r>
        <w:rPr>
          <w:rFonts w:hint="eastAsia" w:ascii="Times New Roman" w:hAnsi="宋体" w:cs="宋体"/>
          <w:color w:val="auto"/>
          <w:kern w:val="0"/>
          <w:sz w:val="36"/>
          <w:szCs w:val="36"/>
          <w:highlight w:val="none"/>
          <w:lang w:val="en-US" w:eastAsia="zh-CN"/>
        </w:rPr>
        <w:t>202</w:t>
      </w:r>
      <w:r>
        <w:rPr>
          <w:rFonts w:hint="eastAsia" w:hAnsi="宋体" w:cs="宋体"/>
          <w:color w:val="auto"/>
          <w:kern w:val="0"/>
          <w:sz w:val="36"/>
          <w:szCs w:val="36"/>
          <w:highlight w:val="none"/>
          <w:lang w:val="en-US" w:eastAsia="zh-CN"/>
        </w:rPr>
        <w:t>5</w:t>
      </w:r>
      <w:r>
        <w:rPr>
          <w:rFonts w:hint="eastAsia" w:ascii="Times New Roman" w:hAnsi="宋体" w:cs="宋体"/>
          <w:color w:val="auto"/>
          <w:kern w:val="0"/>
          <w:sz w:val="36"/>
          <w:szCs w:val="36"/>
          <w:highlight w:val="none"/>
          <w:lang w:val="en-US" w:eastAsia="zh-CN"/>
        </w:rPr>
        <w:t>年度</w:t>
      </w:r>
      <w:r>
        <w:rPr>
          <w:rFonts w:hint="eastAsia" w:ascii="Times New Roman" w:hAnsi="宋体" w:cs="宋体"/>
          <w:color w:val="auto"/>
          <w:kern w:val="0"/>
          <w:sz w:val="36"/>
          <w:szCs w:val="36"/>
          <w:highlight w:val="none"/>
          <w:lang w:eastAsia="zh-CN"/>
        </w:rPr>
        <w:t>）</w:t>
      </w:r>
    </w:p>
    <w:p w14:paraId="7F91A370">
      <w:pPr>
        <w:pStyle w:val="2"/>
        <w:rPr>
          <w:rFonts w:hint="eastAsia" w:ascii="Times New Roman" w:hAnsi="宋体" w:cs="宋体"/>
          <w:color w:val="auto"/>
          <w:kern w:val="0"/>
          <w:sz w:val="36"/>
          <w:szCs w:val="36"/>
          <w:highlight w:val="none"/>
          <w:lang w:eastAsia="zh-CN"/>
        </w:rPr>
      </w:pPr>
    </w:p>
    <w:p w14:paraId="6105E3E5">
      <w:pPr>
        <w:rPr>
          <w:rFonts w:hint="eastAsia" w:ascii="Times New Roman" w:hAnsi="宋体" w:cs="宋体"/>
          <w:color w:val="auto"/>
          <w:kern w:val="0"/>
          <w:sz w:val="36"/>
          <w:szCs w:val="36"/>
          <w:highlight w:val="none"/>
          <w:lang w:eastAsia="zh-CN"/>
        </w:rPr>
      </w:pPr>
    </w:p>
    <w:p w14:paraId="1F7AB263">
      <w:pPr>
        <w:pStyle w:val="2"/>
        <w:rPr>
          <w:rFonts w:hint="eastAsia" w:ascii="Times New Roman" w:hAnsi="宋体" w:cs="宋体"/>
          <w:color w:val="auto"/>
          <w:kern w:val="0"/>
          <w:sz w:val="36"/>
          <w:szCs w:val="36"/>
          <w:highlight w:val="none"/>
          <w:lang w:eastAsia="zh-CN"/>
        </w:rPr>
      </w:pPr>
    </w:p>
    <w:p w14:paraId="5B37ADB9">
      <w:pPr>
        <w:pStyle w:val="2"/>
        <w:rPr>
          <w:rFonts w:hint="eastAsia"/>
          <w:color w:val="auto"/>
          <w:highlight w:val="none"/>
          <w:lang w:eastAsia="zh-CN"/>
        </w:rPr>
      </w:pPr>
    </w:p>
    <w:p w14:paraId="25C62AAF">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kern w:val="0"/>
          <w:sz w:val="32"/>
          <w:szCs w:val="32"/>
          <w:highlight w:val="none"/>
          <w:lang w:val="en-US" w:eastAsia="zh-CN"/>
        </w:rPr>
        <w:t>新疆女子篮球俱乐部专项经费项目</w:t>
      </w:r>
    </w:p>
    <w:p w14:paraId="41628B3C">
      <w:pPr>
        <w:jc w:val="left"/>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实施单位（公章）：</w:t>
      </w:r>
      <w:r>
        <w:rPr>
          <w:rFonts w:hint="eastAsia" w:ascii="仿宋" w:hAnsi="仿宋" w:eastAsia="仿宋" w:cs="仿宋"/>
          <w:color w:val="auto"/>
          <w:kern w:val="0"/>
          <w:sz w:val="32"/>
          <w:szCs w:val="32"/>
          <w:highlight w:val="none"/>
          <w:lang w:val="en-US" w:eastAsia="zh-CN"/>
        </w:rPr>
        <w:t>新疆维吾尔自治区体育局二宫体育训练中心</w:t>
      </w:r>
      <w:r>
        <w:rPr>
          <w:rFonts w:hint="eastAsia" w:ascii="仿宋" w:hAnsi="仿宋" w:eastAsia="仿宋" w:cs="仿宋"/>
          <w:color w:val="auto"/>
          <w:kern w:val="0"/>
          <w:sz w:val="32"/>
          <w:szCs w:val="32"/>
          <w:highlight w:val="none"/>
        </w:rPr>
        <w:t>主管部门（公章）：</w:t>
      </w:r>
      <w:r>
        <w:rPr>
          <w:rFonts w:hint="eastAsia" w:ascii="仿宋" w:hAnsi="仿宋" w:eastAsia="仿宋" w:cs="仿宋"/>
          <w:color w:val="auto"/>
          <w:kern w:val="0"/>
          <w:sz w:val="32"/>
          <w:szCs w:val="32"/>
          <w:highlight w:val="none"/>
          <w:lang w:val="en-US" w:eastAsia="zh-CN"/>
        </w:rPr>
        <w:t>新疆维吾尔自治区体育局</w:t>
      </w:r>
    </w:p>
    <w:p w14:paraId="6110C4ED">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项目负责人（签章）</w:t>
      </w:r>
      <w:r>
        <w:rPr>
          <w:rFonts w:hint="eastAsia" w:ascii="仿宋" w:hAnsi="仿宋" w:eastAsia="仿宋" w:cs="仿宋"/>
          <w:color w:val="auto"/>
          <w:kern w:val="0"/>
          <w:sz w:val="32"/>
          <w:szCs w:val="32"/>
          <w:highlight w:val="none"/>
          <w:lang w:val="en-US" w:eastAsia="zh-CN"/>
        </w:rPr>
        <w:t>：陈军</w:t>
      </w:r>
    </w:p>
    <w:p w14:paraId="3EC6C2A1">
      <w:pPr>
        <w:rPr>
          <w:rFonts w:ascii="仿宋_GB2312"/>
          <w:color w:val="auto"/>
          <w:szCs w:val="30"/>
          <w:highlight w:val="none"/>
        </w:rPr>
      </w:pPr>
      <w:r>
        <w:rPr>
          <w:rFonts w:hint="eastAsia" w:ascii="仿宋" w:hAnsi="仿宋" w:eastAsia="仿宋" w:cs="仿宋"/>
          <w:color w:val="auto"/>
          <w:kern w:val="0"/>
          <w:sz w:val="32"/>
          <w:szCs w:val="32"/>
          <w:highlight w:val="none"/>
        </w:rPr>
        <w:t>填报时间：</w:t>
      </w:r>
      <w:r>
        <w:rPr>
          <w:rFonts w:hint="eastAsia" w:ascii="仿宋" w:hAnsi="仿宋" w:eastAsia="仿宋" w:cs="仿宋"/>
          <w:color w:val="auto"/>
          <w:kern w:val="0"/>
          <w:sz w:val="32"/>
          <w:szCs w:val="32"/>
          <w:highlight w:val="none"/>
          <w:lang w:val="en-US" w:eastAsia="zh-CN"/>
        </w:rPr>
        <w:t>2025</w:t>
      </w:r>
      <w:r>
        <w:rPr>
          <w:rFonts w:hint="eastAsia" w:ascii="仿宋" w:hAnsi="仿宋" w:eastAsia="仿宋" w:cs="仿宋"/>
          <w:color w:val="auto"/>
          <w:kern w:val="0"/>
          <w:sz w:val="32"/>
          <w:szCs w:val="32"/>
          <w:highlight w:val="none"/>
        </w:rPr>
        <w:t xml:space="preserve">年 </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lang w:val="en-US" w:eastAsia="zh-CN"/>
        </w:rPr>
        <w:t xml:space="preserve">18 </w:t>
      </w:r>
      <w:r>
        <w:rPr>
          <w:rFonts w:hint="eastAsia" w:ascii="仿宋" w:hAnsi="仿宋" w:eastAsia="仿宋" w:cs="仿宋"/>
          <w:color w:val="auto"/>
          <w:kern w:val="0"/>
          <w:sz w:val="32"/>
          <w:szCs w:val="32"/>
          <w:highlight w:val="none"/>
        </w:rPr>
        <w:t>日</w:t>
      </w:r>
      <w:r>
        <w:rPr>
          <w:rFonts w:ascii="仿宋_GB2312"/>
          <w:color w:val="auto"/>
          <w:szCs w:val="30"/>
          <w:highlight w:val="none"/>
        </w:rPr>
        <w:br w:type="page"/>
      </w:r>
    </w:p>
    <w:p w14:paraId="6ECA9C83">
      <w:pPr>
        <w:keepNext w:val="0"/>
        <w:keepLines w:val="0"/>
        <w:pageBreakBefore w:val="0"/>
        <w:widowControl w:val="0"/>
        <w:kinsoku/>
        <w:wordWrap/>
        <w:overflowPunct/>
        <w:topLinePunct w:val="0"/>
        <w:autoSpaceDE/>
        <w:autoSpaceDN/>
        <w:bidi w:val="0"/>
        <w:adjustRightInd/>
        <w:snapToGrid/>
        <w:spacing w:line="520" w:lineRule="exact"/>
        <w:ind w:leftChars="0" w:firstLine="600" w:firstLineChars="200"/>
        <w:textAlignment w:val="auto"/>
        <w:rPr>
          <w:rFonts w:ascii="黑体" w:hAnsi="黑体" w:eastAsia="黑体"/>
          <w:color w:val="auto"/>
          <w:highlight w:val="none"/>
        </w:rPr>
      </w:pPr>
      <w:r>
        <w:rPr>
          <w:rFonts w:hint="eastAsia" w:ascii="黑体" w:hAnsi="黑体" w:eastAsia="黑体"/>
          <w:color w:val="auto"/>
          <w:highlight w:val="none"/>
        </w:rPr>
        <w:t>一、基本情况</w:t>
      </w:r>
    </w:p>
    <w:p w14:paraId="2E6B2FF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（一）项目概况。</w:t>
      </w:r>
    </w:p>
    <w:p w14:paraId="1F86A9F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rPr>
        <w:t>项目背景</w:t>
      </w:r>
    </w:p>
    <w:p w14:paraId="0FBAC3F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新疆天山女子篮球俱乐部（以下简称：“新疆女篮”）组建是贯彻落实中共中央政治局常委、全国政协主席俞正声同志指示精神---振兴“三大球”战略，新疆要做出积极贡献。2014年8月，自治区党委决定组建新疆职业女子篮球队，由自治区体育局负责新疆女子职业篮球俱乐部的筹备、组建工作。于2015年2月正式成立。由自治区人民政府出资、自治区体育局负责管理。新疆职业女子篮球队的成立填补了新疆20年没有职业女篮的空白。项目资金全额由自治区财政厅按年初批复的项目资金预算拨付。</w:t>
      </w:r>
    </w:p>
    <w:p w14:paraId="62B91FC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组建新疆女子篮球俱乐部对加快新疆女子篮球运动普及，展示新疆妇女风采，推动</w:t>
      </w:r>
      <w:bookmarkStart w:id="0" w:name="_GoBack"/>
      <w:bookmarkEnd w:id="0"/>
      <w:r>
        <w:rPr>
          <w:rFonts w:hint="eastAsia" w:ascii="仿宋_GB2312" w:hAnsi="仿宋_GB2312" w:cs="仿宋_GB2312"/>
          <w:color w:val="auto"/>
          <w:sz w:val="32"/>
          <w:szCs w:val="32"/>
          <w:highlight w:val="none"/>
          <w:lang w:val="en-US" w:eastAsia="zh-CN"/>
        </w:rPr>
        <w:t>新疆体育事业发展，对冲宗教极端思想影响，助力社会稳定和长治久安，发挥了良好的现实作用并且持续展露出其长远意义。</w:t>
      </w:r>
    </w:p>
    <w:p w14:paraId="0282264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2、主要内容及实施情况 </w:t>
      </w:r>
    </w:p>
    <w:p w14:paraId="00F6066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新疆女篮专项资金用于发放外聘教练员、运动员劳务费、训练、参赛的交通费、食宿费、青训专项费及日常经费开支等各项费用。</w:t>
      </w:r>
      <w:r>
        <w:rPr>
          <w:rStyle w:val="8"/>
          <w:rFonts w:hint="eastAsia" w:ascii="楷体" w:hAnsi="楷体" w:eastAsia="楷体"/>
          <w:color w:val="auto"/>
          <w:spacing w:val="-4"/>
          <w:sz w:val="32"/>
          <w:szCs w:val="32"/>
        </w:rPr>
        <w:br w:type="textWrapping"/>
      </w:r>
      <w:r>
        <w:rPr>
          <w:rStyle w:val="8"/>
          <w:rFonts w:hint="eastAsia" w:ascii="楷体" w:hAnsi="楷体" w:eastAsia="楷体"/>
          <w:color w:val="auto"/>
          <w:spacing w:val="-4"/>
          <w:sz w:val="32"/>
          <w:szCs w:val="32"/>
          <w:lang w:val="en-US" w:eastAsia="zh-CN"/>
        </w:rPr>
        <w:t xml:space="preserve">   </w:t>
      </w:r>
      <w:r>
        <w:rPr>
          <w:rFonts w:hint="eastAsia" w:ascii="仿宋_GB2312" w:hAnsi="仿宋_GB2312" w:cs="仿宋_GB2312"/>
          <w:color w:val="auto"/>
          <w:sz w:val="32"/>
          <w:szCs w:val="32"/>
          <w:highlight w:val="none"/>
          <w:lang w:val="en-US" w:eastAsia="zh-CN"/>
        </w:rPr>
        <w:t>新疆女篮严格执行资金计划，落实各项备战工作，强化后勤保障和运动队梯队建设，合理规划资金，严格把控资金使用，2025年批复的新疆女子篮球俱乐部专项经费项目2500万元，资金主要用于训练、备战的食宿费、交通费、薪资支出及项目日常经费的开支；2025年外聘教练、运动员劳务费2000万元，运营、办公等费用80万元，日常训练及训练器材费150万元，比赛食、宿等费70万元，青训专项费用200万元，共计2500万元。截至2025年12月31日项目资金使用率100%。</w:t>
      </w:r>
    </w:p>
    <w:p w14:paraId="2698EFA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各项目指标均已完成，完成效果较好。</w:t>
      </w:r>
    </w:p>
    <w:p w14:paraId="6F87B26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3、资金投入和使用情况</w:t>
      </w:r>
    </w:p>
    <w:p w14:paraId="7143A02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年预算资金</w:t>
      </w:r>
      <w:r>
        <w:rPr>
          <w:rFonts w:hint="eastAsia" w:ascii="仿宋_GB2312" w:hAnsi="仿宋_GB2312" w:cs="仿宋_GB2312"/>
          <w:color w:val="auto"/>
          <w:sz w:val="32"/>
          <w:szCs w:val="32"/>
          <w:highlight w:val="none"/>
          <w:lang w:val="en-US" w:eastAsia="zh-CN"/>
        </w:rPr>
        <w:t>2500</w:t>
      </w:r>
      <w:r>
        <w:rPr>
          <w:rFonts w:hint="eastAsia" w:ascii="仿宋_GB2312" w:hAnsi="仿宋_GB2312" w:eastAsia="仿宋_GB2312" w:cs="仿宋_GB2312"/>
          <w:color w:val="auto"/>
          <w:sz w:val="32"/>
          <w:szCs w:val="32"/>
          <w:highlight w:val="none"/>
          <w:lang w:val="en-US" w:eastAsia="zh-CN"/>
        </w:rPr>
        <w:t>万元，已全额到位，均为财政拨款，无自筹资金，预算资金到位率达到</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6E308E44">
      <w:pPr>
        <w:spacing w:line="540" w:lineRule="exact"/>
        <w:ind w:firstLine="567"/>
        <w:rPr>
          <w:rStyle w:val="8"/>
          <w:rFonts w:ascii="楷体" w:hAnsi="楷体" w:eastAsia="楷体"/>
          <w:color w:val="auto"/>
          <w:spacing w:val="-4"/>
          <w:sz w:val="32"/>
          <w:szCs w:val="32"/>
        </w:rPr>
      </w:pPr>
      <w:r>
        <w:rPr>
          <w:rFonts w:hint="eastAsia" w:ascii="仿宋_GB2312" w:hAnsi="仿宋_GB2312" w:cs="仿宋_GB2312"/>
          <w:color w:val="auto"/>
          <w:sz w:val="32"/>
          <w:szCs w:val="32"/>
          <w:highlight w:val="none"/>
          <w:lang w:val="en-US" w:eastAsia="zh-CN"/>
        </w:rPr>
        <w:t>截至2025</w:t>
      </w:r>
      <w:r>
        <w:rPr>
          <w:rFonts w:hint="eastAsia" w:ascii="仿宋_GB2312" w:hAnsi="仿宋_GB2312" w:eastAsia="仿宋_GB2312" w:cs="仿宋_GB2312"/>
          <w:color w:val="auto"/>
          <w:sz w:val="32"/>
          <w:szCs w:val="32"/>
          <w:highlight w:val="none"/>
          <w:lang w:val="en-US" w:eastAsia="zh-CN"/>
        </w:rPr>
        <w:t>年12月31日为止，项目资金已支出</w:t>
      </w:r>
      <w:r>
        <w:rPr>
          <w:rFonts w:hint="eastAsia" w:ascii="仿宋_GB2312" w:hAnsi="仿宋_GB2312" w:cs="仿宋_GB2312"/>
          <w:color w:val="auto"/>
          <w:sz w:val="32"/>
          <w:szCs w:val="32"/>
          <w:highlight w:val="none"/>
          <w:lang w:val="en-US" w:eastAsia="zh-CN"/>
        </w:rPr>
        <w:t>2500</w:t>
      </w:r>
      <w:r>
        <w:rPr>
          <w:rFonts w:hint="eastAsia" w:ascii="仿宋_GB2312" w:hAnsi="仿宋_GB2312" w:eastAsia="仿宋_GB2312" w:cs="仿宋_GB2312"/>
          <w:color w:val="auto"/>
          <w:sz w:val="32"/>
          <w:szCs w:val="32"/>
          <w:highlight w:val="none"/>
          <w:lang w:val="en-US" w:eastAsia="zh-CN"/>
        </w:rPr>
        <w:t>万元，资金执行率100%。各项资金支付依据年度财政拨款预算，严格执行《资金支付和费用报销管理规定》，各项支出均有相关的授权审批，资金支付依照审批程序进行，使用规范，会计核算结果真实、准确。</w:t>
      </w:r>
    </w:p>
    <w:p w14:paraId="547A349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p>
    <w:p w14:paraId="7B1B8F0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项目绩效目标。</w:t>
      </w:r>
    </w:p>
    <w:p w14:paraId="357105E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总体目标：项目资金用于天山女子篮球队外出训练交通、食宿、运动员及教练员工资、伙食等各项经费。新疆女篮以作风顽强、敢打敢拼、永不言败的新疆女篮精神，打造一支过硬的队伍，为国内职业女篮增添了一股强劲力量，力争早日夺取全国联赛冠军。</w:t>
      </w:r>
    </w:p>
    <w:p w14:paraId="6DAA76C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阶段性目标：无。</w:t>
      </w:r>
    </w:p>
    <w:p w14:paraId="63E9959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二、绩效评价工作开展情况</w:t>
      </w:r>
    </w:p>
    <w:p w14:paraId="0323F35E">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（一）绩效评价目的、对象和范围。</w:t>
      </w:r>
    </w:p>
    <w:p w14:paraId="68BB5BC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对“新疆天山女子篮球俱乐部专项经费”</w:t>
      </w:r>
      <w:r>
        <w:rPr>
          <w:rFonts w:hint="eastAsia" w:ascii="仿宋_GB2312" w:hAnsi="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en-US" w:eastAsia="zh-CN"/>
        </w:rPr>
        <w:t>支出的经济性、效率性和效益性进行客观、公正的评价，总结更加高效的开展工作并使项目支出的效益达到最大化的方法，分析存在问题及原因，切实采取有效措施进一步改进和加强财政专项资金管理，增强政府公信力和执行力。</w:t>
      </w:r>
    </w:p>
    <w:p w14:paraId="06A2AB4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我单位从决策、过程、产出、成本和效果五个方面针对本项目进行评价，通过开展绩效评价，提高财政资金分配的科学性、有效性，向建立绩效预算制度迈出重要的一步。</w:t>
      </w:r>
    </w:p>
    <w:p w14:paraId="16702E9E">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（二）</w:t>
      </w:r>
      <w:r>
        <w:rPr>
          <w:rFonts w:hint="eastAsia" w:ascii="楷体" w:hAnsi="楷体" w:eastAsia="楷体" w:cs="楷体"/>
          <w:b/>
          <w:bCs/>
          <w:color w:val="auto"/>
          <w:sz w:val="32"/>
          <w:szCs w:val="32"/>
          <w:highlight w:val="none"/>
        </w:rPr>
        <w:t>绩效评价原则、评价指标体系、评价方法、评价标准等。</w:t>
      </w:r>
    </w:p>
    <w:p w14:paraId="1F6CEF1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1、绩效评价原则</w:t>
      </w:r>
    </w:p>
    <w:p w14:paraId="4CBBF96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）科学公正</w:t>
      </w:r>
      <w:r>
        <w:rPr>
          <w:rFonts w:hint="eastAsia" w:ascii="仿宋_GB2312" w:hAnsi="仿宋_GB2312" w:eastAsia="仿宋_GB2312" w:cs="仿宋_GB2312"/>
          <w:color w:val="auto"/>
          <w:sz w:val="32"/>
          <w:szCs w:val="32"/>
          <w:highlight w:val="none"/>
          <w:lang w:val="en-US" w:eastAsia="zh-CN"/>
        </w:rPr>
        <w:t>、科学规范原则</w:t>
      </w:r>
      <w:r>
        <w:rPr>
          <w:rFonts w:hint="default" w:ascii="仿宋_GB2312" w:hAnsi="仿宋_GB2312" w:eastAsia="仿宋_GB2312" w:cs="仿宋_GB2312"/>
          <w:color w:val="auto"/>
          <w:sz w:val="32"/>
          <w:szCs w:val="32"/>
          <w:highlight w:val="none"/>
          <w:lang w:val="en-US" w:eastAsia="zh-CN"/>
        </w:rPr>
        <w:t>。绩效评价应当运用科学合理的方法，按照规范的程序，对项目绩效进行客观、公正的反映</w:t>
      </w:r>
      <w:r>
        <w:rPr>
          <w:rFonts w:hint="eastAsia" w:ascii="仿宋_GB2312" w:hAnsi="仿宋_GB2312" w:eastAsia="仿宋_GB2312" w:cs="仿宋_GB2312"/>
          <w:color w:val="auto"/>
          <w:sz w:val="32"/>
          <w:szCs w:val="32"/>
          <w:highlight w:val="none"/>
          <w:lang w:val="en-US" w:eastAsia="zh-CN"/>
        </w:rPr>
        <w:t>，按照科学可行的要求，采用定量与定性分析相结合的方法。</w:t>
      </w:r>
    </w:p>
    <w:p w14:paraId="70D4069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分级分类原则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我单位根据</w:t>
      </w:r>
      <w:r>
        <w:rPr>
          <w:rFonts w:hint="default" w:ascii="仿宋_GB2312" w:hAnsi="仿宋_GB2312" w:eastAsia="仿宋_GB2312" w:cs="仿宋_GB2312"/>
          <w:color w:val="auto"/>
          <w:sz w:val="32"/>
          <w:szCs w:val="32"/>
          <w:highlight w:val="none"/>
          <w:lang w:val="en-US" w:eastAsia="zh-CN"/>
        </w:rPr>
        <w:t>“谁支出、谁自评”</w:t>
      </w:r>
      <w:r>
        <w:rPr>
          <w:rFonts w:hint="eastAsia" w:ascii="仿宋_GB2312" w:hAnsi="仿宋_GB2312" w:eastAsia="仿宋_GB2312" w:cs="仿宋_GB2312"/>
          <w:color w:val="auto"/>
          <w:sz w:val="32"/>
          <w:szCs w:val="32"/>
          <w:highlight w:val="none"/>
          <w:lang w:val="en-US" w:eastAsia="zh-CN"/>
        </w:rPr>
        <w:t>的原则，根据评价对象的特点分类组织实施绩效</w:t>
      </w:r>
      <w:r>
        <w:rPr>
          <w:rFonts w:hint="default" w:ascii="仿宋_GB2312" w:hAnsi="仿宋_GB2312" w:eastAsia="仿宋_GB2312" w:cs="仿宋_GB2312"/>
          <w:color w:val="auto"/>
          <w:sz w:val="32"/>
          <w:szCs w:val="32"/>
          <w:highlight w:val="none"/>
          <w:lang w:val="en-US" w:eastAsia="zh-CN"/>
        </w:rPr>
        <w:t>评价</w:t>
      </w:r>
      <w:r>
        <w:rPr>
          <w:rFonts w:hint="eastAsia" w:ascii="仿宋_GB2312" w:hAnsi="仿宋_GB2312" w:eastAsia="仿宋_GB2312" w:cs="仿宋_GB2312"/>
          <w:color w:val="auto"/>
          <w:sz w:val="32"/>
          <w:szCs w:val="32"/>
          <w:highlight w:val="none"/>
          <w:lang w:val="en-US" w:eastAsia="zh-CN"/>
        </w:rPr>
        <w:t>工作，与相关单位</w:t>
      </w:r>
      <w:r>
        <w:rPr>
          <w:rFonts w:hint="default" w:ascii="仿宋_GB2312" w:hAnsi="仿宋_GB2312" w:eastAsia="仿宋_GB2312" w:cs="仿宋_GB2312"/>
          <w:color w:val="auto"/>
          <w:sz w:val="32"/>
          <w:szCs w:val="32"/>
          <w:highlight w:val="none"/>
          <w:lang w:val="en-US" w:eastAsia="zh-CN"/>
        </w:rPr>
        <w:t>职责明确，各有侧重，相互衔接。</w:t>
      </w:r>
    </w:p>
    <w:p w14:paraId="2F12782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绩效相关原则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我单位绩效评价针对具体投入及其产出绩效进行，评价结果清晰反映了支出和产出绩效之间的紧密对应关系。</w:t>
      </w:r>
    </w:p>
    <w:p w14:paraId="29A1D86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公正</w:t>
      </w:r>
      <w:r>
        <w:rPr>
          <w:rFonts w:hint="default" w:ascii="仿宋_GB2312" w:hAnsi="仿宋_GB2312" w:eastAsia="仿宋_GB2312" w:cs="仿宋_GB2312"/>
          <w:color w:val="auto"/>
          <w:sz w:val="32"/>
          <w:szCs w:val="32"/>
          <w:highlight w:val="none"/>
          <w:lang w:val="en-US" w:eastAsia="zh-CN"/>
        </w:rPr>
        <w:t>公开</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透明</w:t>
      </w:r>
      <w:r>
        <w:rPr>
          <w:rFonts w:hint="eastAsia" w:ascii="仿宋_GB2312" w:hAnsi="仿宋_GB2312" w:eastAsia="仿宋_GB2312" w:cs="仿宋_GB2312"/>
          <w:color w:val="auto"/>
          <w:sz w:val="32"/>
          <w:szCs w:val="32"/>
          <w:highlight w:val="none"/>
          <w:lang w:val="en-US" w:eastAsia="zh-CN"/>
        </w:rPr>
        <w:t>原则</w:t>
      </w:r>
      <w:r>
        <w:rPr>
          <w:rFonts w:hint="default" w:ascii="仿宋_GB2312" w:hAnsi="仿宋_GB2312" w:eastAsia="仿宋_GB2312" w:cs="仿宋_GB2312"/>
          <w:color w:val="auto"/>
          <w:sz w:val="32"/>
          <w:szCs w:val="32"/>
          <w:highlight w:val="none"/>
          <w:lang w:val="en-US" w:eastAsia="zh-CN"/>
        </w:rPr>
        <w:t>。绩效评价结果</w:t>
      </w:r>
      <w:r>
        <w:rPr>
          <w:rFonts w:hint="eastAsia" w:ascii="仿宋_GB2312" w:hAnsi="仿宋_GB2312" w:eastAsia="仿宋_GB2312" w:cs="仿宋_GB2312"/>
          <w:color w:val="auto"/>
          <w:sz w:val="32"/>
          <w:szCs w:val="32"/>
          <w:highlight w:val="none"/>
          <w:lang w:val="en-US" w:eastAsia="zh-CN"/>
        </w:rPr>
        <w:t>应当符合真实、客观、公正的要求，</w:t>
      </w:r>
      <w:r>
        <w:rPr>
          <w:rFonts w:hint="default" w:ascii="仿宋_GB2312" w:hAnsi="仿宋_GB2312" w:eastAsia="仿宋_GB2312" w:cs="仿宋_GB2312"/>
          <w:color w:val="auto"/>
          <w:sz w:val="32"/>
          <w:szCs w:val="32"/>
          <w:highlight w:val="none"/>
          <w:lang w:val="en-US" w:eastAsia="zh-CN"/>
        </w:rPr>
        <w:t>依法依规公开，并自觉接受社会监督。</w:t>
      </w:r>
    </w:p>
    <w:p w14:paraId="60E5A8D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2、评价指标体系</w:t>
      </w:r>
    </w:p>
    <w:p w14:paraId="3EA3FF3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14:paraId="1CFE1E0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zh-TW" w:eastAsia="zh-TW"/>
        </w:rPr>
        <w:t>财政支出绩效评价指标体系严格按照《项目支出绩效评价管理办法》（财预〔2020〕10号）文件要求设置，</w:t>
      </w:r>
      <w:r>
        <w:rPr>
          <w:rFonts w:hint="eastAsia" w:ascii="仿宋_GB2312" w:hAnsi="仿宋_GB2312" w:eastAsia="仿宋_GB2312" w:cs="仿宋_GB2312"/>
          <w:color w:val="auto"/>
          <w:sz w:val="32"/>
          <w:szCs w:val="32"/>
          <w:highlight w:val="none"/>
          <w:lang w:val="en-US" w:eastAsia="zh-CN"/>
        </w:rPr>
        <w:t>指标体系设置一级指标共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highlight w:val="none"/>
          <w:lang w:val="zh-TW" w:eastAsia="zh-TW"/>
        </w:rPr>
        <w:t>，包括决策</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zh-TW" w:eastAsia="zh-TW"/>
        </w:rPr>
        <w:t>（2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过程指标</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产出指标（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0%）、成本指标（0%）、效益指标（30%）五类</w:t>
      </w:r>
      <w:r>
        <w:rPr>
          <w:rFonts w:hint="eastAsia" w:ascii="仿宋_GB2312" w:hAnsi="仿宋_GB2312" w:eastAsia="仿宋_GB2312" w:cs="仿宋_GB2312"/>
          <w:color w:val="auto"/>
          <w:sz w:val="32"/>
          <w:szCs w:val="32"/>
          <w:highlight w:val="none"/>
          <w:lang w:val="zh-TW" w:eastAsia="zh-TW"/>
        </w:rPr>
        <w:t>指标；主要围绕资金使用、项目管理、资源配置等方面，客观分析项目的产出和效果，从而考察项目预算定额标准的合理性，进而提出完善意见。整个评价框架构成体现从投入、过程到产出、效果和影响的绩效逻辑路径。</w:t>
      </w:r>
    </w:p>
    <w:p w14:paraId="70144FB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我单位经过一系列论证，从决策、过程、产出</w:t>
      </w:r>
      <w:r>
        <w:rPr>
          <w:rFonts w:hint="eastAsia" w:ascii="仿宋_GB2312" w:hAnsi="仿宋_GB2312" w:cs="仿宋_GB2312"/>
          <w:color w:val="auto"/>
          <w:sz w:val="32"/>
          <w:szCs w:val="32"/>
          <w:highlight w:val="none"/>
          <w:lang w:val="en-US" w:eastAsia="zh-CN"/>
        </w:rPr>
        <w:t>、成本和</w:t>
      </w:r>
      <w:r>
        <w:rPr>
          <w:rFonts w:hint="eastAsia" w:ascii="仿宋_GB2312" w:hAnsi="仿宋_GB2312" w:eastAsia="仿宋_GB2312" w:cs="仿宋_GB2312"/>
          <w:color w:val="auto"/>
          <w:sz w:val="32"/>
          <w:szCs w:val="32"/>
          <w:highlight w:val="none"/>
          <w:lang w:val="en-US" w:eastAsia="zh-CN"/>
        </w:rPr>
        <w:t>效果</w:t>
      </w:r>
      <w:r>
        <w:rPr>
          <w:rFonts w:hint="eastAsia" w:ascii="仿宋_GB2312" w:hAnsi="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val="en-US" w:eastAsia="zh-CN"/>
        </w:rPr>
        <w:t>个过程进行评价，涉及二级指标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lang w:val="en-US" w:eastAsia="zh-CN"/>
        </w:rPr>
        <w:t>个，具体评价指标体系</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592314A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sectPr>
          <w:pgSz w:w="11906" w:h="16838"/>
          <w:pgMar w:top="2098" w:right="1531" w:bottom="1984" w:left="1531" w:header="737" w:footer="851" w:gutter="0"/>
          <w:cols w:space="720" w:num="1"/>
          <w:docGrid w:type="lines" w:linePitch="408" w:charSpace="0"/>
        </w:sectPr>
      </w:pPr>
    </w:p>
    <w:p w14:paraId="0AE2879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3.评价方法</w:t>
      </w:r>
    </w:p>
    <w:p w14:paraId="2377445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成本效益分析法。是指将投入与产出、效益进行关联性分析的方法。 </w:t>
      </w:r>
    </w:p>
    <w:p w14:paraId="5376F87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比较法。是指将实施情况与绩效目标、历史情况、不同部门和地区同类支出情况进行比较的方法。</w:t>
      </w:r>
    </w:p>
    <w:p w14:paraId="0E28E2A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最低成本法。是指在绩效目标确定的前提下，成本最小者为优的方法。</w:t>
      </w:r>
    </w:p>
    <w:p w14:paraId="4F54D99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标杆管理法。是指以国内外同行业中较高的绩效水平为标杆进行评判的方法。</w:t>
      </w:r>
    </w:p>
    <w:p w14:paraId="3385F02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结合本单位项目开展具体情况，我单位采用了比较法、成本效益分析法，通过着重</w:t>
      </w:r>
      <w:r>
        <w:rPr>
          <w:rFonts w:hint="default" w:ascii="仿宋_GB2312" w:hAnsi="仿宋_GB2312" w:eastAsia="仿宋_GB2312" w:cs="仿宋_GB2312"/>
          <w:color w:val="auto"/>
          <w:sz w:val="32"/>
          <w:szCs w:val="32"/>
          <w:highlight w:val="none"/>
          <w:lang w:val="en-US" w:eastAsia="zh-CN"/>
        </w:rPr>
        <w:t>比较项目的全部成本和效益来评估项目价值</w:t>
      </w:r>
      <w:r>
        <w:rPr>
          <w:rFonts w:hint="eastAsia" w:ascii="仿宋_GB2312" w:hAnsi="仿宋_GB2312" w:eastAsia="仿宋_GB2312" w:cs="仿宋_GB2312"/>
          <w:color w:val="auto"/>
          <w:sz w:val="32"/>
          <w:szCs w:val="32"/>
          <w:highlight w:val="none"/>
          <w:lang w:val="en-US" w:eastAsia="zh-CN"/>
        </w:rPr>
        <w:t>，确定三级指标得分情况。</w:t>
      </w:r>
    </w:p>
    <w:p w14:paraId="1025E5C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4、评价标准</w:t>
      </w:r>
    </w:p>
    <w:p w14:paraId="3C27256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w:t>
      </w:r>
      <w:r>
        <w:rPr>
          <w:rFonts w:hint="eastAsia" w:ascii="仿宋_GB2312" w:hAnsi="仿宋_GB2312" w:eastAsia="仿宋_GB2312" w:cs="仿宋_GB2312"/>
          <w:color w:val="auto"/>
          <w:sz w:val="32"/>
          <w:szCs w:val="32"/>
          <w:highlight w:val="none"/>
          <w:lang w:val="en-US" w:eastAsia="zh-CN"/>
        </w:rPr>
        <w:t>我单位针对该项目采用的历史评价标准，参考近三年绩效指标平均值、上年值，</w:t>
      </w:r>
      <w:r>
        <w:rPr>
          <w:rFonts w:hint="default" w:ascii="仿宋_GB2312" w:hAnsi="仿宋_GB2312" w:eastAsia="仿宋_GB2312" w:cs="仿宋_GB2312"/>
          <w:color w:val="auto"/>
          <w:sz w:val="32"/>
          <w:szCs w:val="32"/>
          <w:highlight w:val="none"/>
          <w:lang w:val="en-US" w:eastAsia="zh-CN"/>
        </w:rPr>
        <w:t>对绩效指标完成情况进行</w:t>
      </w:r>
      <w:r>
        <w:rPr>
          <w:rFonts w:hint="eastAsia" w:ascii="仿宋_GB2312" w:hAnsi="仿宋_GB2312" w:eastAsia="仿宋_GB2312" w:cs="仿宋_GB2312"/>
          <w:color w:val="auto"/>
          <w:sz w:val="32"/>
          <w:szCs w:val="32"/>
          <w:highlight w:val="none"/>
          <w:lang w:val="en-US" w:eastAsia="zh-CN"/>
        </w:rPr>
        <w:t>评价</w:t>
      </w:r>
      <w:r>
        <w:rPr>
          <w:rFonts w:hint="default" w:ascii="仿宋_GB2312" w:hAnsi="仿宋_GB2312" w:eastAsia="仿宋_GB2312" w:cs="仿宋_GB2312"/>
          <w:color w:val="auto"/>
          <w:sz w:val="32"/>
          <w:szCs w:val="32"/>
          <w:highlight w:val="none"/>
          <w:lang w:val="en-US" w:eastAsia="zh-CN"/>
        </w:rPr>
        <w:t>。</w:t>
      </w:r>
    </w:p>
    <w:p w14:paraId="51C4DCA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5、其他相关依据文件及项目单位提供的其他佐证材料等</w:t>
      </w:r>
    </w:p>
    <w:p w14:paraId="2F5AB6E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依据上述评价标准，项目部门需提供的佐证材料为工作资料：部门总结、相关业务资料等。说明材料：针对无直接佐证材料或者综合性的内容，由相关单位、人员出具正式说明。</w:t>
      </w:r>
    </w:p>
    <w:p w14:paraId="700FF58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6DE98FA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（三）绩效评价工作过程。</w:t>
      </w:r>
    </w:p>
    <w:p w14:paraId="12ACFFA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为了提高财政资金分配的科学性、有效性，加强财政专项资金管理，提高支出效益，我单位自项目下达之日高度重视，具体绩效评价工作过程如下:</w:t>
      </w:r>
    </w:p>
    <w:p w14:paraId="1993710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1、确定绩效评价对象和范围</w:t>
      </w:r>
    </w:p>
    <w:p w14:paraId="630E38C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绩效评价工作重点及预算管理要求确定了绩效评价对象。我单位从产出、效果和满意度三个方面针对本项目进行评价，评价的范围包括项目具体的数量指标、质量指标、时效指标、成本指标、社会效益指标及满意度指标等。</w:t>
      </w:r>
    </w:p>
    <w:p w14:paraId="6CFA9B1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2、收集绩效评价相关数据资料</w:t>
      </w:r>
    </w:p>
    <w:p w14:paraId="2659B22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我单位根据需要采取要求相关部门提供资料，包括工作资料、部门总结、相关业务资料、原始凭证、合同、说明材料等。</w:t>
      </w:r>
    </w:p>
    <w:p w14:paraId="417E04F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3、与项目相关科室交换意见</w:t>
      </w:r>
    </w:p>
    <w:p w14:paraId="47999F4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我单位绩效评价工作人员及时将绩效评价结果反馈到相关部门，并就绩效评价结果进行积极的沟通，进一步完善评价报告。</w:t>
      </w:r>
    </w:p>
    <w:p w14:paraId="251815AF">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val="en-US" w:eastAsia="zh-CN"/>
        </w:rPr>
        <w:t>综合评价情况及评价结论</w:t>
      </w:r>
    </w:p>
    <w:p w14:paraId="31BB425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惠及群众，效果较好。</w:t>
      </w:r>
    </w:p>
    <w:p w14:paraId="0FA9683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经认真对照《项目支出绩效评价指标体系》，我单位新疆女子篮球俱乐部专项经费项目指标都较好地达到了相关要求，项目评价得分：100分，评价等级为：优。具体得分情况</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54E65885">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四、绩效评价指标分析</w:t>
      </w:r>
    </w:p>
    <w:p w14:paraId="1AC3B01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（一）项目决策分析</w:t>
      </w:r>
    </w:p>
    <w:p w14:paraId="6B62417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项目决策分析主要是对项目立项、绩效目标及资金投入进行分析。项目决策类指标由3个二级指标和6个三级指标构成，该项满分为20分，得分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658EB1B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1、项目立项分析（得分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分）</w:t>
      </w:r>
    </w:p>
    <w:p w14:paraId="0AE286A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635143">
      <w:pPr>
        <w:spacing w:line="360" w:lineRule="auto"/>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①项目立项依据是《中华人民共和国国民经济和社会发展第十三个五年规划纲要》“第七节 广泛开展全民健身运动 实施全民健身战略”；《体育发展“十三五”规划 》“（二十二）做好重大赛事的备战参赛和组织工作 ”“（十八）加快青少年体育发展 。”符合国家法律法规、国民经济发展规划，符合行业发展规划和政策要求；</w:t>
      </w:r>
    </w:p>
    <w:p w14:paraId="282684D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②项目立项依据《自治区财政资金使用跟踪反馈管理暂行办法》（新财预﹝2016﹞113)，符合部门或行业发展规划和政策要求；</w:t>
      </w:r>
    </w:p>
    <w:p w14:paraId="5579DD8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2E7A6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①项目按照规定的程序申请设立；</w:t>
      </w:r>
    </w:p>
    <w:p w14:paraId="0074A11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②审批文件、材料符合相关要求；以相关法律、法规、规章以及财政部有关文件等为依据，并收集足够的相关文件及资料，通过现场调研为评估结论提供充分的依据支持。</w:t>
      </w:r>
    </w:p>
    <w:p w14:paraId="32467EB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2、绩效目标分析（得分</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分）</w:t>
      </w:r>
    </w:p>
    <w:p w14:paraId="3393815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3A4F16A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项目设定绩效目标；项目设定一级指标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个，三级指标8个。项目绩效目标与实际工作内容具有相关性；项目预期产出效益和效果符合正常的业绩水平；与预算确定的项目投资额或资金量相匹配。</w:t>
      </w:r>
    </w:p>
    <w:p w14:paraId="7FD9723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绩效指标明确性（得分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581063B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项目实施有明确的年度目标，且将绩效目标细化为一级指标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个。</w:t>
      </w:r>
    </w:p>
    <w:p w14:paraId="5203EA4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①将项目绩效目标细化分解为具体的绩效指标如下：</w:t>
      </w:r>
    </w:p>
    <w:p w14:paraId="2AD5264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color w:val="auto"/>
          <w:lang w:val="en-US" w:eastAsia="zh-CN"/>
        </w:rPr>
      </w:pPr>
      <w:r>
        <w:rPr>
          <w:rFonts w:hint="default" w:ascii="仿宋_GB2312" w:hAnsi="仿宋_GB2312" w:eastAsia="仿宋_GB2312" w:cs="仿宋_GB2312"/>
          <w:color w:val="auto"/>
          <w:sz w:val="32"/>
          <w:szCs w:val="32"/>
          <w:highlight w:val="none"/>
          <w:lang w:val="en-US" w:eastAsia="zh-CN"/>
        </w:rPr>
        <w:t>数量指标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外聘教练员、运动员数量&gt;=18人；青训人员数量&gt;=20人；参加比赛场次&gt;=32场；比赛天数&gt;=32天。</w:t>
      </w:r>
    </w:p>
    <w:p w14:paraId="6DD9CCF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质量指标</w:t>
      </w:r>
      <w:r>
        <w:rPr>
          <w:rFonts w:hint="eastAsia" w:ascii="仿宋_GB2312" w:hAnsi="仿宋_GB2312" w:cs="仿宋_GB2312"/>
          <w:color w:val="auto"/>
          <w:sz w:val="32"/>
          <w:szCs w:val="32"/>
          <w:highlight w:val="none"/>
          <w:lang w:val="en-US" w:eastAsia="zh-CN"/>
        </w:rPr>
        <w:t>：赛事活动完成率=100%；外聘教练合格率=100%。</w:t>
      </w:r>
    </w:p>
    <w:p w14:paraId="7A1DAFE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社会效益指标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促进女子篮球运动事业发展=有效。</w:t>
      </w:r>
    </w:p>
    <w:p w14:paraId="252786F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满意度指标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运动员满意度&gt;=90%。</w:t>
      </w:r>
    </w:p>
    <w:p w14:paraId="79E7E6B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②绩效指标通过清晰、可衡量的指标值予以体现；通过指标设定数与实际完成数对比，各项指标均已完成。</w:t>
      </w:r>
    </w:p>
    <w:p w14:paraId="110BA61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③与项目目标任务数或计划数相对应。</w:t>
      </w:r>
    </w:p>
    <w:p w14:paraId="48FB4BB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3、资金投入分析（得分6分）</w:t>
      </w:r>
    </w:p>
    <w:p w14:paraId="41DBC01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预算编制科学性（得分3分）：本项目预算</w:t>
      </w:r>
      <w:r>
        <w:rPr>
          <w:rFonts w:hint="eastAsia" w:ascii="仿宋_GB2312" w:hAnsi="仿宋_GB2312" w:cs="仿宋_GB2312"/>
          <w:color w:val="auto"/>
          <w:sz w:val="32"/>
          <w:szCs w:val="32"/>
          <w:highlight w:val="none"/>
          <w:lang w:val="en-US" w:eastAsia="zh-CN"/>
        </w:rPr>
        <w:t>2500</w:t>
      </w:r>
      <w:r>
        <w:rPr>
          <w:rFonts w:hint="eastAsia" w:ascii="仿宋_GB2312" w:hAnsi="仿宋_GB2312" w:eastAsia="仿宋_GB2312" w:cs="仿宋_GB2312"/>
          <w:color w:val="auto"/>
          <w:sz w:val="32"/>
          <w:szCs w:val="32"/>
          <w:highlight w:val="none"/>
          <w:lang w:val="en-US" w:eastAsia="zh-CN"/>
        </w:rPr>
        <w:t>万元，项目预算内容与项目内容相匹配，预算确定的项目资金量与实际工作完成所需资金量基本相适应。</w:t>
      </w:r>
    </w:p>
    <w:p w14:paraId="3C694FC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资金分配合理性（得分3分）：预算资金分配依据充分；资金分配额度与实际工作完成所需资金量相适应。</w:t>
      </w:r>
    </w:p>
    <w:p w14:paraId="7D493173">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（二）过程情况分析</w:t>
      </w:r>
    </w:p>
    <w:p w14:paraId="59CE8A1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项目过程指标由2个二级指标和5个三级指标构成，该项满分为20分，得分20分，得分率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%。项目建立了比较健全的配套资金管理制度，且在项目实施过程中能够按照管理执行。</w:t>
      </w:r>
    </w:p>
    <w:p w14:paraId="24EFE2B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1、资金管理分析（得分12分）</w:t>
      </w:r>
    </w:p>
    <w:p w14:paraId="6B8F8C1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（1）资金到位率（得分4分）</w:t>
      </w:r>
    </w:p>
    <w:p w14:paraId="6095C69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资金到位率用以反映和考核资金落实情况对项目实施的总体保障程度。资金到位率=（实际到位资金/预算资金）×100%。本项目实际到位资金</w:t>
      </w:r>
      <w:r>
        <w:rPr>
          <w:rFonts w:hint="eastAsia" w:ascii="仿宋_GB2312" w:hAnsi="仿宋_GB2312" w:cs="仿宋_GB2312"/>
          <w:color w:val="auto"/>
          <w:sz w:val="32"/>
          <w:szCs w:val="32"/>
          <w:highlight w:val="none"/>
          <w:lang w:val="en-US" w:eastAsia="zh-CN"/>
        </w:rPr>
        <w:t>2500</w:t>
      </w:r>
      <w:r>
        <w:rPr>
          <w:rFonts w:hint="eastAsia" w:ascii="仿宋_GB2312" w:hAnsi="仿宋_GB2312" w:eastAsia="仿宋_GB2312" w:cs="仿宋_GB2312"/>
          <w:color w:val="auto"/>
          <w:sz w:val="32"/>
          <w:szCs w:val="32"/>
          <w:highlight w:val="none"/>
          <w:lang w:val="en-US" w:eastAsia="zh-CN"/>
        </w:rPr>
        <w:t>万元，预算资金</w:t>
      </w:r>
      <w:r>
        <w:rPr>
          <w:rFonts w:hint="eastAsia" w:ascii="仿宋_GB2312" w:hAnsi="仿宋_GB2312" w:cs="仿宋_GB2312"/>
          <w:color w:val="auto"/>
          <w:sz w:val="32"/>
          <w:szCs w:val="32"/>
          <w:highlight w:val="none"/>
          <w:lang w:val="en-US" w:eastAsia="zh-CN"/>
        </w:rPr>
        <w:t>2500</w:t>
      </w:r>
      <w:r>
        <w:rPr>
          <w:rFonts w:hint="eastAsia" w:ascii="仿宋_GB2312" w:hAnsi="仿宋_GB2312" w:eastAsia="仿宋_GB2312" w:cs="仿宋_GB2312"/>
          <w:color w:val="auto"/>
          <w:sz w:val="32"/>
          <w:szCs w:val="32"/>
          <w:highlight w:val="none"/>
          <w:lang w:val="en-US" w:eastAsia="zh-CN"/>
        </w:rPr>
        <w:t>万元，资金到位率100%。</w:t>
      </w:r>
    </w:p>
    <w:p w14:paraId="73B5E5B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（2）预算执行率（得分4分）</w:t>
      </w:r>
    </w:p>
    <w:p w14:paraId="20DC9C6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预算执行率</w:t>
      </w:r>
      <w:r>
        <w:rPr>
          <w:rFonts w:hint="default" w:ascii="仿宋_GB2312" w:hAnsi="仿宋_GB2312" w:eastAsia="仿宋_GB2312" w:cs="仿宋_GB2312"/>
          <w:color w:val="auto"/>
          <w:sz w:val="32"/>
          <w:szCs w:val="32"/>
          <w:highlight w:val="none"/>
          <w:lang w:val="en-US" w:eastAsia="zh-CN"/>
        </w:rPr>
        <w:t>用以反映或考核项目预算执行情况。预算执行率=（实际支出资金/实际到位资金）×100%。</w:t>
      </w:r>
      <w:r>
        <w:rPr>
          <w:rFonts w:hint="eastAsia" w:ascii="仿宋_GB2312" w:hAnsi="仿宋_GB2312" w:eastAsia="仿宋_GB2312" w:cs="仿宋_GB2312"/>
          <w:color w:val="auto"/>
          <w:sz w:val="32"/>
          <w:szCs w:val="32"/>
          <w:highlight w:val="none"/>
          <w:lang w:val="en-US" w:eastAsia="zh-CN"/>
        </w:rPr>
        <w:t>本项目实际到位资金</w:t>
      </w:r>
      <w:r>
        <w:rPr>
          <w:rFonts w:hint="eastAsia" w:ascii="仿宋_GB2312" w:hAnsi="仿宋_GB2312" w:cs="仿宋_GB2312"/>
          <w:color w:val="auto"/>
          <w:sz w:val="32"/>
          <w:szCs w:val="32"/>
          <w:highlight w:val="none"/>
          <w:lang w:val="en-US" w:eastAsia="zh-CN"/>
        </w:rPr>
        <w:t>2500</w:t>
      </w:r>
      <w:r>
        <w:rPr>
          <w:rFonts w:hint="eastAsia" w:ascii="仿宋_GB2312" w:hAnsi="仿宋_GB2312" w:eastAsia="仿宋_GB2312" w:cs="仿宋_GB2312"/>
          <w:color w:val="auto"/>
          <w:sz w:val="32"/>
          <w:szCs w:val="32"/>
          <w:highlight w:val="none"/>
          <w:lang w:val="en-US" w:eastAsia="zh-CN"/>
        </w:rPr>
        <w:t>万元，</w:t>
      </w:r>
      <w:r>
        <w:rPr>
          <w:rFonts w:hint="default" w:ascii="仿宋_GB2312" w:hAnsi="仿宋_GB2312" w:eastAsia="仿宋_GB2312" w:cs="仿宋_GB2312"/>
          <w:color w:val="auto"/>
          <w:sz w:val="32"/>
          <w:szCs w:val="32"/>
          <w:highlight w:val="none"/>
          <w:lang w:val="en-US" w:eastAsia="zh-CN"/>
        </w:rPr>
        <w:t>实际支出资金</w:t>
      </w:r>
      <w:r>
        <w:rPr>
          <w:rFonts w:hint="eastAsia" w:ascii="仿宋_GB2312" w:hAnsi="仿宋_GB2312" w:cs="仿宋_GB2312"/>
          <w:color w:val="auto"/>
          <w:sz w:val="32"/>
          <w:szCs w:val="32"/>
          <w:highlight w:val="none"/>
          <w:lang w:val="en-US" w:eastAsia="zh-CN"/>
        </w:rPr>
        <w:t>2500</w:t>
      </w:r>
      <w:r>
        <w:rPr>
          <w:rFonts w:hint="eastAsia" w:ascii="仿宋_GB2312" w:hAnsi="仿宋_GB2312" w:eastAsia="仿宋_GB2312" w:cs="仿宋_GB2312"/>
          <w:color w:val="auto"/>
          <w:sz w:val="32"/>
          <w:szCs w:val="32"/>
          <w:highlight w:val="none"/>
          <w:lang w:val="en-US" w:eastAsia="zh-CN"/>
        </w:rPr>
        <w:t>万元，预算执行率100%。本项目任务已全部完成。</w:t>
      </w:r>
    </w:p>
    <w:p w14:paraId="0F6F54A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（3）资金使用合规性（得分4分）</w:t>
      </w:r>
    </w:p>
    <w:p w14:paraId="412157E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w:t>
      </w:r>
      <w:r>
        <w:rPr>
          <w:rFonts w:hint="default" w:ascii="仿宋_GB2312" w:hAnsi="仿宋_GB2312" w:eastAsia="仿宋_GB2312" w:cs="仿宋_GB2312"/>
          <w:color w:val="auto"/>
          <w:sz w:val="32"/>
          <w:szCs w:val="32"/>
          <w:highlight w:val="none"/>
          <w:lang w:val="en-US" w:eastAsia="zh-CN"/>
        </w:rPr>
        <w:t>资金的拨付有完整的审批程序和手续；符合项目预算批复或合同规定的用途；</w:t>
      </w:r>
      <w:r>
        <w:rPr>
          <w:rFonts w:hint="eastAsia" w:ascii="仿宋_GB2312" w:hAnsi="仿宋_GB2312" w:eastAsia="仿宋_GB2312" w:cs="仿宋_GB2312"/>
          <w:color w:val="auto"/>
          <w:sz w:val="32"/>
          <w:szCs w:val="32"/>
          <w:highlight w:val="none"/>
          <w:lang w:val="en-US" w:eastAsia="zh-CN"/>
        </w:rPr>
        <w:t>不</w:t>
      </w:r>
      <w:r>
        <w:rPr>
          <w:rFonts w:hint="default" w:ascii="仿宋_GB2312" w:hAnsi="仿宋_GB2312" w:eastAsia="仿宋_GB2312" w:cs="仿宋_GB2312"/>
          <w:color w:val="auto"/>
          <w:sz w:val="32"/>
          <w:szCs w:val="32"/>
          <w:highlight w:val="none"/>
          <w:lang w:val="en-US" w:eastAsia="zh-CN"/>
        </w:rPr>
        <w:t>存在截留、挤占、挪用、虚列支出等情况</w:t>
      </w:r>
      <w:r>
        <w:rPr>
          <w:rFonts w:hint="eastAsia" w:ascii="仿宋_GB2312" w:hAnsi="仿宋_GB2312" w:eastAsia="仿宋_GB2312" w:cs="仿宋_GB2312"/>
          <w:color w:val="auto"/>
          <w:sz w:val="32"/>
          <w:szCs w:val="32"/>
          <w:highlight w:val="none"/>
          <w:lang w:val="en-US" w:eastAsia="zh-CN"/>
        </w:rPr>
        <w:t>。</w:t>
      </w:r>
    </w:p>
    <w:p w14:paraId="44A3FA4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2、组织实施分析（得分8分）</w:t>
      </w:r>
    </w:p>
    <w:p w14:paraId="35CC1C2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（1）管理制度健全性（得分4分）</w:t>
      </w:r>
    </w:p>
    <w:p w14:paraId="0CB028B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22EE443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（2）制度执行有效性（得分4分）</w:t>
      </w:r>
    </w:p>
    <w:p w14:paraId="0D6B53D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严格按照根据《中华人民共和国预算法》，加强对项目资金的预算执行及日常监督管理，确保每个项目按照规定的用途实施。资金拨付坚持按项目、预算、进度、指定用途拨款，确保财政专项资金规范使用。</w:t>
      </w:r>
    </w:p>
    <w:p w14:paraId="47FC5DA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项目立项依据、实施方案、财务信息等资料齐全并及时归档；项目实施的人员条件、场地设备、信息支撑等落实到位。</w:t>
      </w:r>
    </w:p>
    <w:p w14:paraId="5D22E92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（三）产出情况分析</w:t>
      </w:r>
    </w:p>
    <w:p w14:paraId="5C8415B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产出</w:t>
      </w:r>
      <w:r>
        <w:rPr>
          <w:rFonts w:hint="eastAsia" w:ascii="仿宋_GB2312" w:hAnsi="仿宋_GB2312" w:eastAsia="仿宋_GB2312" w:cs="仿宋_GB2312"/>
          <w:color w:val="auto"/>
          <w:sz w:val="32"/>
          <w:szCs w:val="32"/>
          <w:highlight w:val="none"/>
          <w:lang w:val="en-US" w:eastAsia="zh-CN"/>
        </w:rPr>
        <w:t>包括产出数量、产出质量</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个二级指标。该项满分为</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2BD98BB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产出数量分析（得分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23BA6CB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数量指标：指标1：</w:t>
      </w:r>
      <w:r>
        <w:rPr>
          <w:rFonts w:hint="eastAsia" w:ascii="仿宋_GB2312" w:hAnsi="仿宋_GB2312" w:cs="仿宋_GB2312"/>
          <w:color w:val="auto"/>
          <w:sz w:val="32"/>
          <w:szCs w:val="32"/>
          <w:highlight w:val="none"/>
          <w:lang w:val="en-US" w:eastAsia="zh-CN"/>
        </w:rPr>
        <w:t>外聘教练员、运动员数量</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标值：＞=18人，实际完成值18人，指标完成率100%。</w:t>
      </w:r>
    </w:p>
    <w:p w14:paraId="2528C0B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指标2：青训人员数量</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标值：&gt;=20人，实际完成值20人，指标完成率100%。</w:t>
      </w:r>
    </w:p>
    <w:p w14:paraId="50D1C7F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参加比赛场次，</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标值：&gt;=32场，实际完成值34场，指标完成率100%。</w:t>
      </w:r>
    </w:p>
    <w:p w14:paraId="35ACACB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比赛天数，</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标值：&gt;=32天，实际完成值34天，指标完成率100%。</w:t>
      </w:r>
    </w:p>
    <w:p w14:paraId="00BD8BE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产出质量分析（得分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3050674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质量指标：指标1：</w:t>
      </w:r>
      <w:r>
        <w:rPr>
          <w:rFonts w:hint="eastAsia" w:ascii="仿宋_GB2312" w:hAnsi="仿宋_GB2312" w:cs="仿宋_GB2312"/>
          <w:color w:val="auto"/>
          <w:sz w:val="32"/>
          <w:szCs w:val="32"/>
          <w:highlight w:val="none"/>
          <w:lang w:val="en-US" w:eastAsia="zh-CN"/>
        </w:rPr>
        <w:t>赛事活动完成率，</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标值：=100%，实际完成值100%，指标完成率100%；</w:t>
      </w:r>
    </w:p>
    <w:p w14:paraId="07BB5BB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：外聘教练合格率</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标值：=100%，实际完成值100%，指标完成率100%；</w:t>
      </w:r>
    </w:p>
    <w:p w14:paraId="185D5D7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color w:val="auto"/>
          <w:sz w:val="32"/>
          <w:szCs w:val="32"/>
          <w:highlight w:val="none"/>
          <w:lang w:val="zh-TW" w:eastAsia="zh-TW"/>
        </w:rPr>
      </w:pPr>
      <w:r>
        <w:rPr>
          <w:rFonts w:hint="eastAsia" w:ascii="仿宋" w:hAnsi="仿宋" w:eastAsia="仿宋" w:cs="仿宋"/>
          <w:b/>
          <w:bCs/>
          <w:color w:val="auto"/>
          <w:sz w:val="32"/>
          <w:szCs w:val="32"/>
          <w:highlight w:val="none"/>
          <w:lang w:val="zh-TW" w:eastAsia="zh-TW"/>
        </w:rPr>
        <w:t>（</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lang w:val="zh-TW" w:eastAsia="zh-TW"/>
        </w:rPr>
        <w:t>）</w:t>
      </w:r>
      <w:r>
        <w:rPr>
          <w:rFonts w:hint="eastAsia" w:ascii="仿宋" w:hAnsi="仿宋" w:eastAsia="仿宋" w:cs="仿宋"/>
          <w:b/>
          <w:bCs/>
          <w:color w:val="auto"/>
          <w:sz w:val="32"/>
          <w:szCs w:val="32"/>
          <w:highlight w:val="none"/>
          <w:lang w:val="en-US" w:eastAsia="zh-CN"/>
        </w:rPr>
        <w:t>成本</w:t>
      </w:r>
      <w:r>
        <w:rPr>
          <w:rFonts w:hint="eastAsia" w:ascii="仿宋" w:hAnsi="仿宋" w:eastAsia="仿宋" w:cs="仿宋"/>
          <w:b/>
          <w:bCs/>
          <w:color w:val="auto"/>
          <w:sz w:val="32"/>
          <w:szCs w:val="32"/>
          <w:highlight w:val="none"/>
          <w:lang w:val="zh-TW" w:eastAsia="zh-TW"/>
        </w:rPr>
        <w:t>情况分析</w:t>
      </w:r>
    </w:p>
    <w:p w14:paraId="3F6F26D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cs="仿宋_GB2312"/>
          <w:color w:val="auto"/>
          <w:sz w:val="32"/>
          <w:szCs w:val="32"/>
          <w:highlight w:val="none"/>
          <w:lang w:val="zh-TW" w:eastAsia="zh-TW"/>
        </w:rPr>
      </w:pPr>
      <w:r>
        <w:rPr>
          <w:rFonts w:hint="eastAsia" w:ascii="仿宋_GB2312" w:hAnsi="仿宋_GB2312" w:cs="仿宋_GB2312"/>
          <w:color w:val="auto"/>
          <w:sz w:val="32"/>
          <w:szCs w:val="32"/>
          <w:highlight w:val="none"/>
          <w:lang w:val="zh-TW" w:eastAsia="zh-TW"/>
        </w:rPr>
        <w:t>项目</w:t>
      </w:r>
      <w:r>
        <w:rPr>
          <w:rFonts w:hint="eastAsia" w:ascii="仿宋_GB2312" w:hAnsi="仿宋_GB2312" w:cs="仿宋_GB2312"/>
          <w:color w:val="auto"/>
          <w:sz w:val="32"/>
          <w:szCs w:val="32"/>
          <w:highlight w:val="none"/>
          <w:lang w:val="en-US" w:eastAsia="zh-CN"/>
        </w:rPr>
        <w:t>成本共0个二级指标</w:t>
      </w:r>
      <w:r>
        <w:rPr>
          <w:rFonts w:hint="eastAsia" w:ascii="仿宋_GB2312" w:hAnsi="仿宋_GB2312" w:cs="仿宋_GB2312"/>
          <w:color w:val="auto"/>
          <w:sz w:val="32"/>
          <w:szCs w:val="32"/>
          <w:highlight w:val="none"/>
          <w:lang w:val="zh-TW" w:eastAsia="zh-TW"/>
        </w:rPr>
        <w:t>。该项满分为</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分，得分</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分，得分率</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w:t>
      </w:r>
    </w:p>
    <w:p w14:paraId="4C94454A">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1、成本指标分析（得分0分）</w:t>
      </w:r>
    </w:p>
    <w:p w14:paraId="0B2BC6A5">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经济成本指标：</w:t>
      </w:r>
      <w:r>
        <w:rPr>
          <w:rFonts w:hint="eastAsia" w:ascii="仿宋_GB2312" w:hAnsi="仿宋_GB2312" w:eastAsia="仿宋_GB2312" w:cs="仿宋_GB2312"/>
          <w:color w:val="auto"/>
          <w:sz w:val="32"/>
          <w:szCs w:val="32"/>
          <w:highlight w:val="none"/>
          <w:lang w:val="en-US" w:eastAsia="zh-CN"/>
        </w:rPr>
        <w:t>无此项指标。</w:t>
      </w:r>
    </w:p>
    <w:p w14:paraId="059DA66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color w:val="auto"/>
          <w:sz w:val="32"/>
          <w:szCs w:val="32"/>
          <w:highlight w:val="none"/>
          <w:lang w:val="zh-TW" w:eastAsia="zh-CN"/>
        </w:rPr>
      </w:pPr>
      <w:r>
        <w:rPr>
          <w:rFonts w:hint="eastAsia" w:ascii="仿宋" w:hAnsi="仿宋" w:eastAsia="仿宋" w:cs="仿宋"/>
          <w:b/>
          <w:bCs/>
          <w:color w:val="auto"/>
          <w:sz w:val="32"/>
          <w:szCs w:val="32"/>
          <w:highlight w:val="none"/>
          <w:lang w:val="zh-TW" w:eastAsia="zh-CN"/>
        </w:rPr>
        <w:t>（</w:t>
      </w:r>
      <w:r>
        <w:rPr>
          <w:rFonts w:hint="eastAsia" w:ascii="仿宋" w:hAnsi="仿宋" w:eastAsia="仿宋" w:cs="仿宋"/>
          <w:b/>
          <w:bCs/>
          <w:color w:val="auto"/>
          <w:sz w:val="32"/>
          <w:szCs w:val="32"/>
          <w:highlight w:val="none"/>
          <w:lang w:val="en-US" w:eastAsia="zh-CN"/>
        </w:rPr>
        <w:t>五）</w:t>
      </w:r>
      <w:r>
        <w:rPr>
          <w:rFonts w:hint="eastAsia" w:ascii="仿宋" w:hAnsi="仿宋" w:eastAsia="仿宋" w:cs="仿宋"/>
          <w:b/>
          <w:bCs/>
          <w:color w:val="auto"/>
          <w:sz w:val="32"/>
          <w:szCs w:val="32"/>
          <w:highlight w:val="none"/>
          <w:lang w:val="zh-TW" w:eastAsia="zh-CN"/>
        </w:rPr>
        <w:t>项目效益情况</w:t>
      </w:r>
    </w:p>
    <w:p w14:paraId="1FC186BC">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效益</w:t>
      </w:r>
      <w:r>
        <w:rPr>
          <w:rFonts w:hint="eastAsia" w:ascii="仿宋_GB2312" w:hAnsi="仿宋_GB2312" w:eastAsia="仿宋_GB2312" w:cs="仿宋_GB2312"/>
          <w:color w:val="auto"/>
          <w:sz w:val="32"/>
          <w:szCs w:val="32"/>
          <w:highlight w:val="none"/>
          <w:lang w:val="en-US" w:eastAsia="zh-CN"/>
        </w:rPr>
        <w:t>包括</w:t>
      </w:r>
      <w:r>
        <w:rPr>
          <w:rFonts w:hint="eastAsia" w:ascii="仿宋_GB2312" w:hAnsi="仿宋_GB2312" w:cs="仿宋_GB2312"/>
          <w:color w:val="auto"/>
          <w:sz w:val="32"/>
          <w:szCs w:val="32"/>
          <w:highlight w:val="none"/>
          <w:lang w:val="en-US" w:eastAsia="zh-CN"/>
        </w:rPr>
        <w:t>社会效益和</w:t>
      </w:r>
      <w:r>
        <w:rPr>
          <w:rFonts w:hint="eastAsia" w:ascii="仿宋_GB2312" w:hAnsi="仿宋_GB2312" w:eastAsia="仿宋_GB2312" w:cs="仿宋_GB2312"/>
          <w:color w:val="auto"/>
          <w:sz w:val="32"/>
          <w:szCs w:val="32"/>
          <w:highlight w:val="none"/>
          <w:lang w:val="en-US" w:eastAsia="zh-CN"/>
        </w:rPr>
        <w:t>满意度</w:t>
      </w: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zh-CN"/>
        </w:rPr>
        <w:t>级指标。该项满分为30 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　</w:t>
      </w:r>
      <w:r>
        <w:rPr>
          <w:rFonts w:hint="eastAsia" w:ascii="仿宋_GB2312" w:hAnsi="仿宋_GB2312" w:eastAsia="仿宋_GB2312" w:cs="仿宋_GB2312"/>
          <w:color w:val="auto"/>
          <w:sz w:val="32"/>
          <w:szCs w:val="32"/>
          <w:highlight w:val="none"/>
          <w:lang w:val="en-US" w:eastAsia="zh-CN"/>
        </w:rPr>
        <w:tab/>
      </w:r>
    </w:p>
    <w:p w14:paraId="00D0AC34">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实施效益（得分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6054040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color w:val="auto"/>
          <w:lang w:eastAsia="zh-CN"/>
        </w:rPr>
      </w:pPr>
      <w:r>
        <w:rPr>
          <w:rFonts w:hint="eastAsia" w:ascii="仿宋_GB2312" w:hAnsi="仿宋_GB2312" w:eastAsia="仿宋_GB2312" w:cs="仿宋_GB2312"/>
          <w:color w:val="auto"/>
          <w:sz w:val="32"/>
          <w:szCs w:val="32"/>
          <w:highlight w:val="none"/>
          <w:lang w:val="en-US" w:eastAsia="zh-CN"/>
        </w:rPr>
        <w:t>经济效益指标：无此项指标。</w:t>
      </w:r>
    </w:p>
    <w:p w14:paraId="3E87A47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社会效益指标：促进女子篮球运动事业发展</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标值：有效，实际完成值基本达成目标。</w:t>
      </w:r>
    </w:p>
    <w:p w14:paraId="7162B19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生态效益指标：无此项指标。</w:t>
      </w:r>
    </w:p>
    <w:p w14:paraId="39814AA8">
      <w:pPr>
        <w:pStyle w:val="5"/>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可持续影响指标：无此项指标</w:t>
      </w:r>
      <w:r>
        <w:rPr>
          <w:rFonts w:hint="eastAsia" w:ascii="仿宋_GB2312" w:hAnsi="仿宋_GB2312" w:cs="仿宋_GB2312"/>
          <w:color w:val="auto"/>
          <w:sz w:val="32"/>
          <w:szCs w:val="32"/>
          <w:highlight w:val="none"/>
          <w:lang w:val="en-US" w:eastAsia="zh-CN"/>
        </w:rPr>
        <w:t>。</w:t>
      </w:r>
    </w:p>
    <w:p w14:paraId="1F159E1A">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787BE54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满意度指标：</w:t>
      </w:r>
      <w:r>
        <w:rPr>
          <w:rFonts w:hint="eastAsia" w:ascii="仿宋_GB2312" w:hAnsi="仿宋_GB2312" w:cs="仿宋_GB2312"/>
          <w:color w:val="auto"/>
          <w:sz w:val="32"/>
          <w:szCs w:val="32"/>
          <w:highlight w:val="none"/>
          <w:lang w:val="en-US" w:eastAsia="zh-CN"/>
        </w:rPr>
        <w:t>运动员满意度</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90.98</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1EEF29A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00" w:firstLineChars="200"/>
        <w:textAlignment w:val="auto"/>
        <w:rPr>
          <w:rFonts w:hint="eastAsia" w:ascii="黑体" w:hAnsi="黑体" w:eastAsia="黑体"/>
          <w:color w:val="auto"/>
          <w:highlight w:val="none"/>
        </w:rPr>
      </w:pPr>
      <w:r>
        <w:rPr>
          <w:rFonts w:hint="eastAsia" w:ascii="黑体" w:hAnsi="黑体" w:eastAsia="黑体"/>
          <w:color w:val="auto"/>
          <w:highlight w:val="none"/>
          <w:lang w:val="en-US" w:eastAsia="zh-CN"/>
        </w:rPr>
        <w:t>五、</w:t>
      </w:r>
      <w:r>
        <w:rPr>
          <w:rFonts w:hint="eastAsia" w:ascii="黑体" w:hAnsi="黑体" w:eastAsia="黑体"/>
          <w:color w:val="auto"/>
          <w:highlight w:val="none"/>
        </w:rPr>
        <w:t>主要经验及做法、存在的问题及原因分析</w:t>
      </w:r>
    </w:p>
    <w:p w14:paraId="3DAF8DA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1、主要经验及做法</w:t>
      </w:r>
    </w:p>
    <w:p w14:paraId="299B148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坚持全面预算原则，树立全员参与预算意识，加强预算管理，力争项目资金预算贴近实际，提高预算的准确性。</w:t>
      </w:r>
    </w:p>
    <w:p w14:paraId="734BC25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细化预算管理方案，做好各项预案。应对突发情况，加强判断与分析能力，对可能发生的各种情况及时找到最佳解决方案，尽可能将损失降至最低，保障各项工作得以顺利进行。</w:t>
      </w:r>
    </w:p>
    <w:p w14:paraId="0D2A1A9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严格预算管理制度，建立科学的预算管理体系，确保项目落实。在项目实施过程中，坚决做到专款专用，不挤占、不挪用，对经费使用建立监督制约机制，确保经费使用合理、合规。</w:t>
      </w:r>
    </w:p>
    <w:p w14:paraId="5D8481C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预算管理与绩效评估有效地结合，项目资金做到事前有预算、事中有控制、事后有考评。</w:t>
      </w:r>
    </w:p>
    <w:p w14:paraId="21174E1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2、存在的问题</w:t>
      </w:r>
    </w:p>
    <w:p w14:paraId="636F939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00" w:firstLineChars="200"/>
        <w:jc w:val="left"/>
        <w:textAlignment w:val="auto"/>
        <w:rPr>
          <w:rFonts w:hint="eastAsia" w:ascii="仿宋_GB2312" w:hAnsi="Times New Roman" w:eastAsia="仿宋_GB2312"/>
          <w:b w:val="0"/>
          <w:bCs/>
          <w:color w:val="auto"/>
          <w:kern w:val="2"/>
          <w:highlight w:val="none"/>
          <w:lang w:eastAsia="zh-CN"/>
        </w:rPr>
      </w:pPr>
      <w:r>
        <w:rPr>
          <w:rFonts w:hint="eastAsia" w:ascii="仿宋_GB2312" w:hAnsi="Times New Roman" w:eastAsia="仿宋_GB2312"/>
          <w:b w:val="0"/>
          <w:bCs/>
          <w:color w:val="auto"/>
          <w:kern w:val="2"/>
          <w:highlight w:val="none"/>
          <w:lang w:eastAsia="zh-CN"/>
        </w:rPr>
        <w:t>本项目是延续性项目，项目执行中严格按照相关审批手续流程执行，不存在其他问题。</w:t>
      </w:r>
    </w:p>
    <w:p w14:paraId="4B6147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有关建议</w:t>
      </w:r>
    </w:p>
    <w:p w14:paraId="12C3685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1、对项目实施过程中不具实际指导意义的项目指标予以剔除，更换更具操作性实用性指标；</w:t>
      </w:r>
    </w:p>
    <w:p w14:paraId="2EA0856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2、资金的拨付有完整的审批程序和手续，确保各项制度落实见效，资金使用安全规范，在资金使用过程中，厉行节约、避免浪费，使项目资金能最大限度地发挥作用。</w:t>
      </w:r>
    </w:p>
    <w:p w14:paraId="7B85544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3、绩效目标应结合各单位实际情况进一步细化，考核指标可以更明晰、体现差异化、增强横向可比性。</w:t>
      </w:r>
    </w:p>
    <w:p w14:paraId="1B47F2E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其他需要说明的问题</w:t>
      </w:r>
    </w:p>
    <w:p w14:paraId="46BB700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sectPr>
      <w:pgSz w:w="11906" w:h="16838"/>
      <w:pgMar w:top="1984" w:right="1531" w:bottom="1701" w:left="153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44B5E"/>
    <w:multiLevelType w:val="singleLevel"/>
    <w:tmpl w:val="27B44B5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21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WJjYzE4ODNiNThkZWIwZDQzYTExYzlhYzg5MTQifQ=="/>
  </w:docVars>
  <w:rsids>
    <w:rsidRoot w:val="56DF6C36"/>
    <w:rsid w:val="03304250"/>
    <w:rsid w:val="057E6C6F"/>
    <w:rsid w:val="09743699"/>
    <w:rsid w:val="0FF056E3"/>
    <w:rsid w:val="108156F9"/>
    <w:rsid w:val="12EA65EE"/>
    <w:rsid w:val="166626FB"/>
    <w:rsid w:val="166938A9"/>
    <w:rsid w:val="16E66E3E"/>
    <w:rsid w:val="1B2572C5"/>
    <w:rsid w:val="1C9F7D88"/>
    <w:rsid w:val="223A1D92"/>
    <w:rsid w:val="23533E4B"/>
    <w:rsid w:val="2A846AAC"/>
    <w:rsid w:val="31EE5C53"/>
    <w:rsid w:val="354075D7"/>
    <w:rsid w:val="394012FE"/>
    <w:rsid w:val="39AE7B43"/>
    <w:rsid w:val="3A5E212D"/>
    <w:rsid w:val="3AA528F0"/>
    <w:rsid w:val="3C1F3318"/>
    <w:rsid w:val="3E6E7AA7"/>
    <w:rsid w:val="40FC432D"/>
    <w:rsid w:val="435F1167"/>
    <w:rsid w:val="4F721361"/>
    <w:rsid w:val="50E926B1"/>
    <w:rsid w:val="51373C80"/>
    <w:rsid w:val="538452A3"/>
    <w:rsid w:val="551F668B"/>
    <w:rsid w:val="56DF6C36"/>
    <w:rsid w:val="57785D2A"/>
    <w:rsid w:val="58E75F2E"/>
    <w:rsid w:val="5C3D2F98"/>
    <w:rsid w:val="5F5407BB"/>
    <w:rsid w:val="628F4B42"/>
    <w:rsid w:val="62BB6808"/>
    <w:rsid w:val="62CF5E0F"/>
    <w:rsid w:val="67687A02"/>
    <w:rsid w:val="6B601CFA"/>
    <w:rsid w:val="6D7F5857"/>
    <w:rsid w:val="6EA7077F"/>
    <w:rsid w:val="6F736745"/>
    <w:rsid w:val="6FDA17BC"/>
    <w:rsid w:val="718F50E7"/>
    <w:rsid w:val="78191BAF"/>
    <w:rsid w:val="7A7430CC"/>
    <w:rsid w:val="7A765096"/>
    <w:rsid w:val="7B4F7695"/>
    <w:rsid w:val="7B5567E1"/>
    <w:rsid w:val="7C672E96"/>
    <w:rsid w:val="7E417769"/>
    <w:rsid w:val="7F12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2">
    <w:name w:val="heading 3"/>
    <w:basedOn w:val="1"/>
    <w:next w:val="1"/>
    <w:autoRedefine/>
    <w:unhideWhenUsed/>
    <w:qFormat/>
    <w:uiPriority w:val="9"/>
    <w:pPr>
      <w:keepNext/>
      <w:widowControl/>
      <w:spacing w:before="240" w:after="60"/>
      <w:jc w:val="left"/>
      <w:outlineLvl w:val="2"/>
    </w:pPr>
    <w:rPr>
      <w:rFonts w:ascii="Cambria" w:hAnsi="Cambria"/>
      <w:b/>
      <w:bCs/>
      <w:kern w:val="0"/>
      <w:szCs w:val="26"/>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unhideWhenUsed/>
    <w:qFormat/>
    <w:uiPriority w:val="99"/>
    <w:pPr>
      <w:jc w:val="left"/>
    </w:pPr>
  </w:style>
  <w:style w:type="paragraph" w:styleId="5">
    <w:name w:val="Body Text Indent 2"/>
    <w:basedOn w:val="1"/>
    <w:autoRedefine/>
    <w:qFormat/>
    <w:uiPriority w:val="0"/>
    <w:pPr>
      <w:spacing w:line="480" w:lineRule="auto"/>
      <w:ind w:left="420" w:leftChars="200"/>
    </w:pPr>
  </w:style>
  <w:style w:type="character" w:styleId="8">
    <w:name w:val="Strong"/>
    <w:basedOn w:val="7"/>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6145</Words>
  <Characters>6409</Characters>
  <Lines>0</Lines>
  <Paragraphs>0</Paragraphs>
  <TotalTime>25</TotalTime>
  <ScaleCrop>false</ScaleCrop>
  <LinksUpToDate>false</LinksUpToDate>
  <CharactersWithSpaces>6425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2024-04-08T08:20:00Z</dcterms:created>
  <dc:creator>Pari</dc:creator>
  <cp:lastModifiedBy>左先生</cp:lastModifiedBy>
  <cp:lastPrinted>2025-03-19T05:05:00Z</cp:lastPrinted>
  <dcterms:modified xsi:type="dcterms:W3CDTF">2026-03-26T10:21:11Z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23288692728745ABBB1ABB15F67BADF8_13</vt:lpwstr>
  </property>
  <property fmtid="{D5CDD505-2E9C-101B-9397-08002B2CF9AE}" pid="4" name="KSOTemplateDocerSaveRecord">
    <vt:lpwstr>eyJoZGlkIjoiNDViN2Y4ODlkMDA0YmMxNGIwZWQzNjA4YTFjYmU5YmIiLCJ1c2VySWQiOiIzMTUyMzYyMTYifQ==</vt:lpwstr>
  </property>
</Properties>
</file>