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E49B72">
      <w:pPr>
        <w:pageBreakBefore w:val="0"/>
        <w:kinsoku/>
        <w:wordWrap/>
        <w:overflowPunct/>
        <w:topLinePunct w:val="0"/>
        <w:autoSpaceDE/>
        <w:autoSpaceDN/>
        <w:bidi w:val="0"/>
        <w:adjustRightInd/>
        <w:snapToGrid/>
        <w:spacing w:line="600" w:lineRule="exact"/>
        <w:ind w:leftChars="0"/>
        <w:jc w:val="center"/>
        <w:textAlignment w:val="auto"/>
        <w:rPr>
          <w:rFonts w:hint="eastAsia" w:ascii="宋体" w:hAnsi="宋体" w:eastAsia="宋体" w:cs="Arial"/>
          <w:b/>
          <w:bCs/>
          <w:sz w:val="36"/>
          <w:szCs w:val="36"/>
          <w:highlight w:val="none"/>
        </w:rPr>
      </w:pPr>
    </w:p>
    <w:p w14:paraId="1342B21C">
      <w:pPr>
        <w:pageBreakBefore w:val="0"/>
        <w:kinsoku/>
        <w:wordWrap/>
        <w:overflowPunct/>
        <w:topLinePunct w:val="0"/>
        <w:autoSpaceDE/>
        <w:autoSpaceDN/>
        <w:bidi w:val="0"/>
        <w:adjustRightInd/>
        <w:snapToGrid/>
        <w:spacing w:line="600" w:lineRule="exact"/>
        <w:ind w:leftChars="0"/>
        <w:jc w:val="center"/>
        <w:textAlignment w:val="auto"/>
        <w:rPr>
          <w:rFonts w:hint="eastAsia" w:ascii="方正小标宋简体" w:hAnsi="方正小标宋简体" w:eastAsia="方正小标宋简体" w:cs="方正小标宋简体"/>
          <w:b/>
          <w:bCs/>
          <w:sz w:val="44"/>
          <w:szCs w:val="44"/>
          <w:highlight w:val="none"/>
        </w:rPr>
      </w:pPr>
      <w:r>
        <w:rPr>
          <w:rFonts w:hint="eastAsia" w:ascii="方正小标宋简体" w:hAnsi="方正小标宋简体" w:eastAsia="方正小标宋简体" w:cs="方正小标宋简体"/>
          <w:b/>
          <w:bCs/>
          <w:sz w:val="44"/>
          <w:szCs w:val="44"/>
          <w:highlight w:val="none"/>
        </w:rPr>
        <w:t>项目支出绩效评价报告</w:t>
      </w:r>
    </w:p>
    <w:p w14:paraId="0105E346">
      <w:pPr>
        <w:pageBreakBefore w:val="0"/>
        <w:kinsoku/>
        <w:wordWrap/>
        <w:overflowPunct/>
        <w:topLinePunct w:val="0"/>
        <w:autoSpaceDE/>
        <w:autoSpaceDN/>
        <w:bidi w:val="0"/>
        <w:adjustRightInd/>
        <w:snapToGrid/>
        <w:spacing w:line="600" w:lineRule="exact"/>
        <w:ind w:leftChars="0"/>
        <w:jc w:val="center"/>
        <w:textAlignment w:val="auto"/>
        <w:rPr>
          <w:rFonts w:hint="eastAsia" w:ascii="Times New Roman" w:hAnsi="宋体" w:cs="宋体"/>
          <w:color w:val="auto"/>
          <w:kern w:val="0"/>
          <w:sz w:val="36"/>
          <w:szCs w:val="36"/>
          <w:highlight w:val="none"/>
          <w:lang w:eastAsia="zh-CN"/>
        </w:rPr>
      </w:pPr>
      <w:r>
        <w:rPr>
          <w:rFonts w:hint="eastAsia" w:ascii="Times New Roman" w:hAnsi="宋体" w:cs="宋体"/>
          <w:color w:val="auto"/>
          <w:kern w:val="0"/>
          <w:sz w:val="36"/>
          <w:szCs w:val="36"/>
          <w:highlight w:val="none"/>
          <w:lang w:eastAsia="zh-CN"/>
        </w:rPr>
        <w:t>（</w:t>
      </w:r>
      <w:r>
        <w:rPr>
          <w:rFonts w:hint="eastAsia" w:ascii="Times New Roman" w:hAnsi="宋体" w:cs="宋体"/>
          <w:color w:val="auto"/>
          <w:kern w:val="0"/>
          <w:sz w:val="36"/>
          <w:szCs w:val="36"/>
          <w:highlight w:val="none"/>
          <w:lang w:val="en-US" w:eastAsia="zh-CN"/>
        </w:rPr>
        <w:t>202</w:t>
      </w:r>
      <w:r>
        <w:rPr>
          <w:rFonts w:hint="eastAsia" w:hAnsi="宋体" w:cs="宋体"/>
          <w:color w:val="auto"/>
          <w:kern w:val="0"/>
          <w:sz w:val="36"/>
          <w:szCs w:val="36"/>
          <w:highlight w:val="none"/>
          <w:lang w:val="en-US" w:eastAsia="zh-CN"/>
        </w:rPr>
        <w:t>5</w:t>
      </w:r>
      <w:r>
        <w:rPr>
          <w:rFonts w:hint="eastAsia" w:ascii="Times New Roman" w:hAnsi="宋体" w:cs="宋体"/>
          <w:color w:val="auto"/>
          <w:kern w:val="0"/>
          <w:sz w:val="36"/>
          <w:szCs w:val="36"/>
          <w:highlight w:val="none"/>
          <w:lang w:val="en-US" w:eastAsia="zh-CN"/>
        </w:rPr>
        <w:t>年度</w:t>
      </w:r>
      <w:r>
        <w:rPr>
          <w:rFonts w:hint="eastAsia" w:ascii="Times New Roman" w:hAnsi="宋体" w:cs="宋体"/>
          <w:color w:val="auto"/>
          <w:kern w:val="0"/>
          <w:sz w:val="36"/>
          <w:szCs w:val="36"/>
          <w:highlight w:val="none"/>
          <w:lang w:eastAsia="zh-CN"/>
        </w:rPr>
        <w:t>）</w:t>
      </w:r>
    </w:p>
    <w:p w14:paraId="5F6C4ADF">
      <w:pPr>
        <w:pStyle w:val="2"/>
        <w:rPr>
          <w:rFonts w:hint="eastAsia" w:ascii="Times New Roman" w:hAnsi="宋体" w:cs="宋体"/>
          <w:color w:val="auto"/>
          <w:kern w:val="0"/>
          <w:sz w:val="36"/>
          <w:szCs w:val="36"/>
          <w:highlight w:val="none"/>
          <w:lang w:eastAsia="zh-CN"/>
        </w:rPr>
      </w:pPr>
    </w:p>
    <w:p w14:paraId="7EAE544A">
      <w:pPr>
        <w:rPr>
          <w:rFonts w:hint="eastAsia" w:ascii="Times New Roman" w:hAnsi="宋体" w:cs="宋体"/>
          <w:color w:val="auto"/>
          <w:kern w:val="0"/>
          <w:sz w:val="36"/>
          <w:szCs w:val="36"/>
          <w:highlight w:val="none"/>
          <w:lang w:eastAsia="zh-CN"/>
        </w:rPr>
      </w:pPr>
    </w:p>
    <w:p w14:paraId="546B19FD">
      <w:pPr>
        <w:pStyle w:val="2"/>
        <w:rPr>
          <w:rFonts w:hint="eastAsia" w:ascii="Times New Roman" w:hAnsi="宋体" w:cs="宋体"/>
          <w:color w:val="auto"/>
          <w:kern w:val="0"/>
          <w:sz w:val="36"/>
          <w:szCs w:val="36"/>
          <w:highlight w:val="none"/>
          <w:lang w:eastAsia="zh-CN"/>
        </w:rPr>
      </w:pPr>
    </w:p>
    <w:p w14:paraId="0DA02573">
      <w:pPr>
        <w:pStyle w:val="2"/>
        <w:rPr>
          <w:rFonts w:hint="eastAsia"/>
          <w:highlight w:val="none"/>
          <w:lang w:eastAsia="zh-CN"/>
        </w:rPr>
      </w:pPr>
    </w:p>
    <w:p w14:paraId="343B427B">
      <w:pPr>
        <w:ind w:left="4320" w:right="750" w:rightChars="250" w:hanging="3840" w:hangingChars="1200"/>
        <w:jc w:val="both"/>
        <w:outlineLvl w:val="0"/>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rPr>
        <w:t>项目名称：</w:t>
      </w:r>
      <w:r>
        <w:rPr>
          <w:rFonts w:hint="eastAsia" w:ascii="仿宋" w:hAnsi="仿宋" w:eastAsia="仿宋" w:cs="仿宋"/>
          <w:color w:val="auto"/>
          <w:kern w:val="0"/>
          <w:sz w:val="32"/>
          <w:szCs w:val="32"/>
          <w:highlight w:val="none"/>
          <w:lang w:eastAsia="zh-CN"/>
        </w:rPr>
        <w:t>体育赛事备战专项资金</w:t>
      </w:r>
    </w:p>
    <w:p w14:paraId="41E07EAA">
      <w:pPr>
        <w:jc w:val="left"/>
        <w:outlineLvl w:val="0"/>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rPr>
        <w:t>实施单位（公章）：</w:t>
      </w:r>
      <w:r>
        <w:rPr>
          <w:rFonts w:hint="eastAsia" w:ascii="仿宋" w:hAnsi="仿宋" w:eastAsia="仿宋" w:cs="仿宋"/>
          <w:color w:val="auto"/>
          <w:kern w:val="0"/>
          <w:sz w:val="32"/>
          <w:szCs w:val="32"/>
          <w:highlight w:val="none"/>
          <w:lang w:val="en-US" w:eastAsia="zh-CN"/>
        </w:rPr>
        <w:t>自治区体育局三屯碑体育训练中心</w:t>
      </w:r>
    </w:p>
    <w:p w14:paraId="1094A6CA">
      <w:pPr>
        <w:ind w:left="4320" w:right="750" w:rightChars="250" w:hanging="3840" w:hangingChars="1200"/>
        <w:jc w:val="both"/>
        <w:outlineLvl w:val="0"/>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rPr>
        <w:t>主管部门（公章）：</w:t>
      </w:r>
      <w:r>
        <w:rPr>
          <w:rFonts w:hint="eastAsia" w:ascii="仿宋" w:hAnsi="仿宋" w:eastAsia="仿宋" w:cs="仿宋"/>
          <w:color w:val="auto"/>
          <w:kern w:val="0"/>
          <w:sz w:val="32"/>
          <w:szCs w:val="32"/>
          <w:highlight w:val="none"/>
          <w:lang w:val="en-US" w:eastAsia="zh-CN"/>
        </w:rPr>
        <w:t>新疆维吾尔自治区体育局</w:t>
      </w:r>
    </w:p>
    <w:p w14:paraId="1AA2BD6E">
      <w:pPr>
        <w:ind w:left="4320" w:right="750" w:rightChars="250" w:hanging="3840" w:hangingChars="1200"/>
        <w:jc w:val="both"/>
        <w:outlineLvl w:val="0"/>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rPr>
        <w:t>项目负责人（签章）</w:t>
      </w:r>
      <w:r>
        <w:rPr>
          <w:rFonts w:hint="eastAsia" w:ascii="仿宋" w:hAnsi="仿宋" w:eastAsia="仿宋" w:cs="仿宋"/>
          <w:color w:val="auto"/>
          <w:kern w:val="0"/>
          <w:sz w:val="32"/>
          <w:szCs w:val="32"/>
          <w:highlight w:val="none"/>
          <w:lang w:val="en-US" w:eastAsia="zh-CN"/>
        </w:rPr>
        <w:t>：蒋金莲</w:t>
      </w:r>
    </w:p>
    <w:p w14:paraId="24509665">
      <w:pPr>
        <w:rPr>
          <w:rFonts w:ascii="仿宋_GB2312"/>
          <w:szCs w:val="30"/>
          <w:highlight w:val="none"/>
        </w:rPr>
      </w:pPr>
      <w:r>
        <w:rPr>
          <w:rFonts w:hint="eastAsia" w:ascii="仿宋" w:hAnsi="仿宋" w:eastAsia="仿宋" w:cs="仿宋"/>
          <w:color w:val="auto"/>
          <w:kern w:val="0"/>
          <w:sz w:val="32"/>
          <w:szCs w:val="32"/>
          <w:highlight w:val="none"/>
        </w:rPr>
        <w:t>填报时间：</w:t>
      </w:r>
      <w:r>
        <w:rPr>
          <w:rFonts w:hint="eastAsia" w:ascii="仿宋" w:hAnsi="仿宋" w:eastAsia="仿宋" w:cs="仿宋"/>
          <w:color w:val="auto"/>
          <w:kern w:val="0"/>
          <w:sz w:val="32"/>
          <w:szCs w:val="32"/>
          <w:highlight w:val="none"/>
          <w:lang w:val="en-US" w:eastAsia="zh-CN"/>
        </w:rPr>
        <w:t>2026</w:t>
      </w:r>
      <w:r>
        <w:rPr>
          <w:rFonts w:hint="eastAsia" w:ascii="仿宋" w:hAnsi="仿宋" w:eastAsia="仿宋" w:cs="仿宋"/>
          <w:color w:val="auto"/>
          <w:kern w:val="0"/>
          <w:sz w:val="32"/>
          <w:szCs w:val="32"/>
          <w:highlight w:val="none"/>
        </w:rPr>
        <w:t xml:space="preserve">年 </w:t>
      </w:r>
      <w:r>
        <w:rPr>
          <w:rFonts w:hint="eastAsia" w:ascii="仿宋" w:hAnsi="仿宋" w:eastAsia="仿宋" w:cs="仿宋"/>
          <w:color w:val="auto"/>
          <w:kern w:val="0"/>
          <w:sz w:val="32"/>
          <w:szCs w:val="32"/>
          <w:highlight w:val="none"/>
          <w:lang w:val="en-US" w:eastAsia="zh-CN"/>
        </w:rPr>
        <w:t>3</w:t>
      </w:r>
      <w:r>
        <w:rPr>
          <w:rFonts w:hint="eastAsia" w:ascii="仿宋" w:hAnsi="仿宋" w:eastAsia="仿宋" w:cs="仿宋"/>
          <w:color w:val="auto"/>
          <w:kern w:val="0"/>
          <w:sz w:val="32"/>
          <w:szCs w:val="32"/>
          <w:highlight w:val="none"/>
        </w:rPr>
        <w:t>月</w:t>
      </w:r>
      <w:r>
        <w:rPr>
          <w:rFonts w:hint="eastAsia" w:ascii="仿宋" w:hAnsi="仿宋" w:eastAsia="仿宋" w:cs="仿宋"/>
          <w:color w:val="auto"/>
          <w:kern w:val="0"/>
          <w:sz w:val="32"/>
          <w:szCs w:val="32"/>
          <w:highlight w:val="none"/>
          <w:lang w:val="en-US" w:eastAsia="zh-CN"/>
        </w:rPr>
        <w:t xml:space="preserve">18 </w:t>
      </w:r>
      <w:r>
        <w:rPr>
          <w:rFonts w:hint="eastAsia" w:ascii="仿宋" w:hAnsi="仿宋" w:eastAsia="仿宋" w:cs="仿宋"/>
          <w:color w:val="auto"/>
          <w:kern w:val="0"/>
          <w:sz w:val="32"/>
          <w:szCs w:val="32"/>
          <w:highlight w:val="none"/>
        </w:rPr>
        <w:t>日</w:t>
      </w:r>
      <w:r>
        <w:rPr>
          <w:rFonts w:ascii="仿宋_GB2312"/>
          <w:szCs w:val="30"/>
          <w:highlight w:val="none"/>
        </w:rPr>
        <w:br w:type="page"/>
      </w:r>
    </w:p>
    <w:p w14:paraId="3ACA7C84">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00" w:firstLineChars="200"/>
        <w:textAlignment w:val="auto"/>
        <w:rPr>
          <w:rFonts w:ascii="黑体" w:hAnsi="黑体" w:eastAsia="黑体"/>
          <w:highlight w:val="none"/>
        </w:rPr>
      </w:pPr>
      <w:r>
        <w:rPr>
          <w:rFonts w:hint="eastAsia" w:ascii="黑体" w:hAnsi="黑体" w:eastAsia="黑体"/>
          <w:highlight w:val="none"/>
        </w:rPr>
        <w:t>一、基本情况</w:t>
      </w:r>
    </w:p>
    <w:p w14:paraId="0D09B549">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（一）项目概况。</w:t>
      </w:r>
    </w:p>
    <w:p w14:paraId="704F8291">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default" w:ascii="仿宋_GB2312" w:hAnsi="仿宋_GB2312" w:eastAsia="仿宋_GB2312" w:cs="仿宋_GB2312"/>
          <w:color w:val="auto"/>
          <w:sz w:val="32"/>
          <w:szCs w:val="32"/>
          <w:highlight w:val="none"/>
        </w:rPr>
      </w:pPr>
      <w:r>
        <w:rPr>
          <w:rFonts w:hint="default" w:ascii="仿宋_GB2312" w:hAnsi="仿宋_GB2312" w:eastAsia="仿宋_GB2312" w:cs="仿宋_GB2312"/>
          <w:color w:val="auto"/>
          <w:sz w:val="32"/>
          <w:szCs w:val="32"/>
          <w:highlight w:val="none"/>
          <w:lang w:val="en-US" w:eastAsia="zh-CN"/>
        </w:rPr>
        <w:t>1、</w:t>
      </w:r>
      <w:r>
        <w:rPr>
          <w:rFonts w:hint="default" w:ascii="仿宋_GB2312" w:hAnsi="仿宋_GB2312" w:eastAsia="仿宋_GB2312" w:cs="仿宋_GB2312"/>
          <w:color w:val="auto"/>
          <w:sz w:val="32"/>
          <w:szCs w:val="32"/>
          <w:highlight w:val="none"/>
        </w:rPr>
        <w:t>项目背景</w:t>
      </w:r>
    </w:p>
    <w:p w14:paraId="0E85E78B">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textAlignment w:val="auto"/>
        <w:rPr>
          <w:rFonts w:hint="eastAsia" w:ascii="仿宋_GB2312" w:hAnsi="仿宋_GB2312" w:eastAsia="仿宋_GB2312" w:cs="仿宋_GB2312"/>
          <w:b w:val="0"/>
          <w:kern w:val="2"/>
          <w:sz w:val="30"/>
          <w:szCs w:val="30"/>
          <w:highlight w:val="none"/>
        </w:rPr>
      </w:pPr>
      <w:r>
        <w:rPr>
          <w:rFonts w:hint="eastAsia" w:ascii="仿宋_GB2312" w:hAnsi="仿宋_GB2312" w:eastAsia="仿宋_GB2312" w:cs="仿宋_GB2312"/>
          <w:color w:val="auto"/>
          <w:kern w:val="2"/>
          <w:sz w:val="32"/>
          <w:szCs w:val="32"/>
          <w:lang w:val="en-US" w:eastAsia="zh-CN" w:bidi="ar-SA"/>
        </w:rPr>
        <w:t>新疆维吾尔自治区体育局体育训练二大队前身为1975年恢复建立的新疆军事体育学校，1983年11月为适应国家体委体制改革正式更名建立“体育训练二大队”，2024年12月因机构改革转隶更名为“新疆维吾尔自治区三屯碑体育训练中心”，是新疆维吾尔自治区体育局直属全额事业单位（公益一类），地址位于乌鲁木齐市天山区三屯碑路37号，占地面积约为26万平方米（宗地图记录，面积包括现拳击、摔柔、足球3个单位区域面积）。职能为：</w:t>
      </w:r>
      <w:r>
        <w:rPr>
          <w:rFonts w:hint="eastAsia" w:ascii="仿宋" w:hAnsi="仿宋" w:eastAsia="仿宋" w:cs="仿宋"/>
          <w:sz w:val="32"/>
          <w:szCs w:val="32"/>
          <w:lang w:val="en-US" w:eastAsia="zh-CN"/>
        </w:rPr>
        <w:t>承担自治区射击、射箭、马术、自行车、航空模型、摩托车等运动队的训练和全国及以上竞赛队伍的组织集训工作、专业训练、国际国内各项赛事的参赛工作。</w:t>
      </w:r>
      <w:r>
        <w:rPr>
          <w:rFonts w:hint="eastAsia" w:ascii="仿宋_GB2312" w:hAnsi="仿宋_GB2312" w:eastAsia="仿宋_GB2312" w:cs="仿宋_GB2312"/>
          <w:color w:val="auto"/>
          <w:w w:val="100"/>
          <w:sz w:val="32"/>
          <w:szCs w:val="32"/>
          <w:lang w:eastAsia="zh-CN"/>
        </w:rPr>
        <w:t>自三屯碑体育训练中心成立以来，培养了巴黎奥运会女子团体射箭亚军安琦轩，北京奥运会男子团体射箭季军薛海峰，中国马术盛装舞步奥运参赛第一人刘丽娜，中国马术盛装舞步杭州亚运会团体亚军的兰超，小口径</w:t>
      </w:r>
      <w:r>
        <w:rPr>
          <w:rFonts w:hint="eastAsia" w:ascii="仿宋_GB2312" w:hAnsi="仿宋_GB2312" w:eastAsia="仿宋_GB2312" w:cs="仿宋_GB2312"/>
          <w:color w:val="auto"/>
          <w:w w:val="100"/>
          <w:sz w:val="32"/>
          <w:szCs w:val="32"/>
          <w:lang w:val="en-US" w:eastAsia="zh-CN"/>
        </w:rPr>
        <w:t>60发卧射世界锦标赛冠军李文杰，亚洲射击锦标赛男子50米卧射团体冠军唐晨亮，世界大学生运动会女子射箭团体冠军李新鑫，连续多年蝉联航模线操纵世锦赛和世界杯冠军的韩新平、杨钧等多名优秀运动员。</w:t>
      </w:r>
      <w:r>
        <w:rPr>
          <w:rFonts w:hint="eastAsia" w:ascii="仿宋_GB2312" w:hAnsi="仿宋_GB2312" w:eastAsia="仿宋_GB2312" w:cs="仿宋_GB2312"/>
          <w:color w:val="auto"/>
          <w:w w:val="100"/>
          <w:sz w:val="32"/>
          <w:szCs w:val="32"/>
          <w:lang w:eastAsia="zh-CN"/>
        </w:rPr>
        <w:t>各项目运动队团结奋斗、勇攀高峰，获得了优异的比赛成绩，为新疆体育事业做出了积极贡献。</w:t>
      </w:r>
      <w:r>
        <w:rPr>
          <w:rFonts w:hint="eastAsia" w:ascii="仿宋_GB2312" w:hAnsi="仿宋_GB2312" w:eastAsia="仿宋_GB2312" w:cs="仿宋_GB2312"/>
          <w:color w:val="auto"/>
          <w:w w:val="100"/>
          <w:sz w:val="32"/>
          <w:szCs w:val="32"/>
          <w:lang w:val="en-US" w:eastAsia="zh-CN"/>
        </w:rPr>
        <w:t>2025年，</w:t>
      </w:r>
      <w:r>
        <w:rPr>
          <w:rFonts w:hint="eastAsia" w:ascii="仿宋" w:hAnsi="仿宋" w:eastAsia="仿宋" w:cs="仿宋"/>
          <w:sz w:val="32"/>
          <w:szCs w:val="32"/>
          <w:lang w:val="en-US" w:eastAsia="zh-CN"/>
        </w:rPr>
        <w:t>射击项目运动员陈佳在第十五届全国运动会上勇夺女子25米手枪银牌，创下新疆射击项目时隔46年的全运最佳战绩，为自治区射击事业镌刻崭新篇章；马术项目刘涛摘得盛装舞步个人金牌，团体赛以微弱差距获得银牌，时隔两届8年再度登顶全运会最高领奖台，续写项目辉煌；自行车项目张博华在男子竞速小轮车赛场全力冲刺，成功追平该项目全运历史最佳战绩。2025年射击世锦赛中，陈佳力克强敌斩获团体亚军；在女子25米标准手枪团体赛中，陈佳携手队友以1693环的优异成绩勇夺金牌，同时打破该项目世界纪录。</w:t>
      </w:r>
    </w:p>
    <w:p w14:paraId="0850A0CF">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主要内容及实施情况 </w:t>
      </w:r>
    </w:p>
    <w:p w14:paraId="6DBE5E38">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sz w:val="32"/>
          <w:szCs w:val="32"/>
          <w:highlight w:val="none"/>
          <w:lang w:val="en-US" w:eastAsia="zh-CN"/>
        </w:rPr>
      </w:pPr>
      <w:r>
        <w:rPr>
          <w:rFonts w:hint="eastAsia"/>
          <w:sz w:val="32"/>
          <w:szCs w:val="32"/>
          <w:highlight w:val="none"/>
          <w:lang w:val="en-US" w:eastAsia="zh-CN"/>
        </w:rPr>
        <w:t>新疆维吾尔自治区体育局三屯碑体育训练中心严格按照局党组工作要求，加大工作力度，专项经费主要用于保障运动队器材购置、确保运动队训练、体能康复、运动营养补给、参加各项比赛、做好后备人才培养等各项支出。</w:t>
      </w:r>
      <w:r>
        <w:rPr>
          <w:rFonts w:ascii="仿宋_GB2312" w:hAnsi="仿宋_GB2312" w:eastAsia="仿宋_GB2312" w:cs="仿宋_GB2312"/>
          <w:color w:val="auto"/>
          <w:kern w:val="2"/>
          <w:sz w:val="32"/>
          <w:szCs w:val="32"/>
          <w:highlight w:val="none"/>
          <w:lang w:bidi="ar-SA"/>
        </w:rPr>
        <w:t>各项支出严格按照202</w:t>
      </w:r>
      <w:r>
        <w:rPr>
          <w:rFonts w:hint="eastAsia" w:ascii="仿宋_GB2312" w:hAnsi="仿宋_GB2312" w:eastAsia="仿宋_GB2312" w:cs="仿宋_GB2312"/>
          <w:color w:val="auto"/>
          <w:kern w:val="2"/>
          <w:sz w:val="32"/>
          <w:szCs w:val="32"/>
          <w:highlight w:val="none"/>
          <w:lang w:val="en-US" w:eastAsia="zh-CN" w:bidi="ar-SA"/>
        </w:rPr>
        <w:t>5</w:t>
      </w:r>
      <w:r>
        <w:rPr>
          <w:rFonts w:ascii="仿宋_GB2312" w:hAnsi="仿宋_GB2312" w:eastAsia="仿宋_GB2312" w:cs="仿宋_GB2312"/>
          <w:color w:val="auto"/>
          <w:kern w:val="2"/>
          <w:sz w:val="32"/>
          <w:szCs w:val="32"/>
          <w:highlight w:val="none"/>
          <w:lang w:bidi="ar-SA"/>
        </w:rPr>
        <w:t>年度比赛</w:t>
      </w:r>
      <w:r>
        <w:rPr>
          <w:rFonts w:hint="eastAsia" w:ascii="仿宋_GB2312" w:hAnsi="仿宋_GB2312" w:eastAsia="仿宋_GB2312" w:cs="仿宋_GB2312"/>
          <w:color w:val="auto"/>
          <w:kern w:val="2"/>
          <w:sz w:val="32"/>
          <w:szCs w:val="32"/>
          <w:highlight w:val="none"/>
          <w:lang w:eastAsia="zh-CN" w:bidi="ar-SA"/>
        </w:rPr>
        <w:t>训练安排开展各项活动，对于</w:t>
      </w:r>
      <w:r>
        <w:rPr>
          <w:rFonts w:ascii="仿宋_GB2312" w:hAnsi="仿宋_GB2312" w:eastAsia="仿宋_GB2312" w:cs="仿宋_GB2312"/>
          <w:color w:val="auto"/>
          <w:kern w:val="2"/>
          <w:sz w:val="32"/>
          <w:szCs w:val="32"/>
          <w:highlight w:val="none"/>
          <w:lang w:bidi="ar-SA"/>
        </w:rPr>
        <w:t>比赛</w:t>
      </w:r>
      <w:r>
        <w:rPr>
          <w:rFonts w:hint="eastAsia" w:ascii="仿宋_GB2312" w:hAnsi="仿宋_GB2312" w:eastAsia="仿宋_GB2312" w:cs="仿宋_GB2312"/>
          <w:color w:val="auto"/>
          <w:kern w:val="2"/>
          <w:sz w:val="32"/>
          <w:szCs w:val="32"/>
          <w:highlight w:val="none"/>
          <w:lang w:eastAsia="zh-CN" w:bidi="ar-SA"/>
        </w:rPr>
        <w:t>训练</w:t>
      </w:r>
      <w:r>
        <w:rPr>
          <w:rFonts w:ascii="仿宋_GB2312" w:hAnsi="仿宋_GB2312" w:eastAsia="仿宋_GB2312" w:cs="仿宋_GB2312"/>
          <w:color w:val="auto"/>
          <w:kern w:val="2"/>
          <w:sz w:val="32"/>
          <w:szCs w:val="32"/>
          <w:highlight w:val="none"/>
          <w:lang w:bidi="ar-SA"/>
        </w:rPr>
        <w:t>期间的食宿交通标准实报实销，外</w:t>
      </w:r>
      <w:r>
        <w:rPr>
          <w:rFonts w:hint="eastAsia" w:ascii="仿宋_GB2312" w:hAnsi="仿宋_GB2312" w:eastAsia="仿宋_GB2312" w:cs="仿宋_GB2312"/>
          <w:color w:val="auto"/>
          <w:kern w:val="2"/>
          <w:sz w:val="32"/>
          <w:szCs w:val="32"/>
          <w:highlight w:val="none"/>
          <w:lang w:eastAsia="zh-CN" w:bidi="ar-SA"/>
        </w:rPr>
        <w:t>聘人员</w:t>
      </w:r>
      <w:r>
        <w:rPr>
          <w:rFonts w:ascii="仿宋_GB2312" w:hAnsi="仿宋_GB2312" w:eastAsia="仿宋_GB2312" w:cs="仿宋_GB2312"/>
          <w:color w:val="auto"/>
          <w:kern w:val="2"/>
          <w:sz w:val="32"/>
          <w:szCs w:val="32"/>
          <w:highlight w:val="none"/>
          <w:lang w:bidi="ar-SA"/>
        </w:rPr>
        <w:t>经费</w:t>
      </w:r>
      <w:r>
        <w:rPr>
          <w:rFonts w:hint="eastAsia" w:ascii="仿宋_GB2312" w:hAnsi="仿宋_GB2312" w:eastAsia="仿宋_GB2312" w:cs="仿宋_GB2312"/>
          <w:color w:val="auto"/>
          <w:kern w:val="2"/>
          <w:sz w:val="32"/>
          <w:szCs w:val="32"/>
          <w:highlight w:val="none"/>
          <w:lang w:eastAsia="zh-CN" w:bidi="ar-SA"/>
        </w:rPr>
        <w:t>严格</w:t>
      </w:r>
      <w:r>
        <w:rPr>
          <w:rFonts w:ascii="仿宋_GB2312" w:hAnsi="仿宋_GB2312" w:eastAsia="仿宋_GB2312" w:cs="仿宋_GB2312"/>
          <w:color w:val="auto"/>
          <w:kern w:val="2"/>
          <w:sz w:val="32"/>
          <w:szCs w:val="32"/>
          <w:highlight w:val="none"/>
          <w:lang w:bidi="ar-SA"/>
        </w:rPr>
        <w:t>按</w:t>
      </w:r>
      <w:r>
        <w:rPr>
          <w:rFonts w:hint="eastAsia" w:ascii="仿宋_GB2312" w:hAnsi="仿宋_GB2312" w:eastAsia="仿宋_GB2312" w:cs="仿宋_GB2312"/>
          <w:color w:val="auto"/>
          <w:kern w:val="2"/>
          <w:sz w:val="32"/>
          <w:szCs w:val="32"/>
          <w:highlight w:val="none"/>
          <w:lang w:eastAsia="zh-CN" w:bidi="ar-SA"/>
        </w:rPr>
        <w:t>照</w:t>
      </w:r>
      <w:r>
        <w:rPr>
          <w:rFonts w:ascii="仿宋_GB2312" w:hAnsi="仿宋_GB2312" w:eastAsia="仿宋_GB2312" w:cs="仿宋_GB2312"/>
          <w:color w:val="auto"/>
          <w:kern w:val="2"/>
          <w:sz w:val="32"/>
          <w:szCs w:val="32"/>
          <w:highlight w:val="none"/>
          <w:lang w:bidi="ar-SA"/>
        </w:rPr>
        <w:t>签订的合同支付工资、</w:t>
      </w:r>
      <w:r>
        <w:rPr>
          <w:rFonts w:hint="eastAsia" w:ascii="仿宋_GB2312" w:hAnsi="仿宋_GB2312" w:eastAsia="仿宋_GB2312" w:cs="仿宋_GB2312"/>
          <w:color w:val="auto"/>
          <w:kern w:val="2"/>
          <w:sz w:val="32"/>
          <w:szCs w:val="32"/>
          <w:highlight w:val="none"/>
          <w:lang w:eastAsia="zh-CN" w:bidi="ar-SA"/>
        </w:rPr>
        <w:t>劳务费等</w:t>
      </w:r>
      <w:r>
        <w:rPr>
          <w:rFonts w:ascii="仿宋_GB2312" w:hAnsi="仿宋_GB2312" w:eastAsia="仿宋_GB2312" w:cs="仿宋_GB2312"/>
          <w:color w:val="auto"/>
          <w:kern w:val="2"/>
          <w:sz w:val="32"/>
          <w:szCs w:val="32"/>
          <w:highlight w:val="none"/>
          <w:lang w:bidi="ar-SA"/>
        </w:rPr>
        <w:t>费用，服装、器材</w:t>
      </w:r>
      <w:r>
        <w:rPr>
          <w:rFonts w:hint="eastAsia" w:ascii="仿宋_GB2312" w:hAnsi="仿宋_GB2312" w:eastAsia="仿宋_GB2312" w:cs="仿宋_GB2312"/>
          <w:color w:val="auto"/>
          <w:kern w:val="2"/>
          <w:sz w:val="32"/>
          <w:szCs w:val="32"/>
          <w:highlight w:val="none"/>
          <w:lang w:eastAsia="zh-CN" w:bidi="ar-SA"/>
        </w:rPr>
        <w:t>采购均</w:t>
      </w:r>
      <w:r>
        <w:rPr>
          <w:rFonts w:ascii="仿宋_GB2312" w:hAnsi="仿宋_GB2312" w:eastAsia="仿宋_GB2312" w:cs="仿宋_GB2312"/>
          <w:color w:val="auto"/>
          <w:kern w:val="2"/>
          <w:sz w:val="32"/>
          <w:szCs w:val="32"/>
          <w:highlight w:val="none"/>
          <w:lang w:bidi="ar-SA"/>
        </w:rPr>
        <w:t>按预算执行。专项资金的使用严格遵循专款专用原则，以最大限度提高资金利用率，并本着节约原则，落实管理和用好</w:t>
      </w:r>
      <w:r>
        <w:rPr>
          <w:rFonts w:hint="eastAsia" w:ascii="仿宋_GB2312" w:hAnsi="仿宋_GB2312" w:eastAsia="仿宋_GB2312" w:cs="仿宋_GB2312"/>
          <w:color w:val="auto"/>
          <w:kern w:val="2"/>
          <w:sz w:val="32"/>
          <w:szCs w:val="32"/>
          <w:highlight w:val="none"/>
          <w:lang w:eastAsia="zh-CN" w:bidi="ar-SA"/>
        </w:rPr>
        <w:t>体育赛事</w:t>
      </w:r>
      <w:r>
        <w:rPr>
          <w:rFonts w:ascii="仿宋_GB2312" w:hAnsi="仿宋_GB2312" w:eastAsia="仿宋_GB2312" w:cs="仿宋_GB2312"/>
          <w:color w:val="auto"/>
          <w:kern w:val="2"/>
          <w:sz w:val="32"/>
          <w:szCs w:val="32"/>
          <w:highlight w:val="none"/>
          <w:lang w:bidi="ar-SA"/>
        </w:rPr>
        <w:t>备战专项资金</w:t>
      </w:r>
      <w:r>
        <w:rPr>
          <w:rFonts w:hint="eastAsia" w:ascii="仿宋_GB2312" w:hAnsi="仿宋_GB2312" w:eastAsia="仿宋_GB2312" w:cs="仿宋_GB2312"/>
          <w:color w:val="auto"/>
          <w:kern w:val="2"/>
          <w:sz w:val="32"/>
          <w:szCs w:val="32"/>
          <w:highlight w:val="none"/>
          <w:lang w:eastAsia="zh-CN" w:bidi="ar-SA"/>
        </w:rPr>
        <w:t>，</w:t>
      </w:r>
      <w:r>
        <w:rPr>
          <w:rFonts w:hint="eastAsia"/>
          <w:sz w:val="32"/>
          <w:szCs w:val="32"/>
          <w:highlight w:val="none"/>
          <w:lang w:val="en-US" w:eastAsia="zh-CN"/>
        </w:rPr>
        <w:t>全力做好各运动队的比赛及训练保障。</w:t>
      </w:r>
    </w:p>
    <w:p w14:paraId="79BB3F04">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各项目指标均已完成，完成效果较好。</w:t>
      </w:r>
    </w:p>
    <w:p w14:paraId="066FDAD5">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3、资金投入和使用情况</w:t>
      </w:r>
    </w:p>
    <w:p w14:paraId="791FA039">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2025</w:t>
      </w:r>
      <w:r>
        <w:rPr>
          <w:rFonts w:hint="eastAsia" w:ascii="仿宋_GB2312" w:hAnsi="仿宋_GB2312" w:eastAsia="仿宋_GB2312" w:cs="仿宋_GB2312"/>
          <w:color w:val="auto"/>
          <w:sz w:val="32"/>
          <w:szCs w:val="32"/>
          <w:highlight w:val="none"/>
          <w:lang w:val="en-US" w:eastAsia="zh-CN"/>
        </w:rPr>
        <w:t>年预算资金</w:t>
      </w:r>
      <w:r>
        <w:rPr>
          <w:rFonts w:hint="eastAsia" w:ascii="仿宋_GB2312" w:hAnsi="仿宋_GB2312" w:cs="仿宋_GB2312"/>
          <w:color w:val="auto"/>
          <w:sz w:val="32"/>
          <w:szCs w:val="32"/>
          <w:highlight w:val="none"/>
          <w:lang w:val="en-US" w:eastAsia="zh-CN"/>
        </w:rPr>
        <w:t>1719.94</w:t>
      </w:r>
      <w:r>
        <w:rPr>
          <w:rFonts w:hint="eastAsia" w:ascii="仿宋_GB2312" w:hAnsi="仿宋_GB2312" w:eastAsia="仿宋_GB2312" w:cs="仿宋_GB2312"/>
          <w:color w:val="auto"/>
          <w:sz w:val="32"/>
          <w:szCs w:val="32"/>
          <w:highlight w:val="none"/>
          <w:lang w:val="en-US" w:eastAsia="zh-CN"/>
        </w:rPr>
        <w:t>万元，已全额到位，均为财政拨款，无自筹资金，预算资金到位率达到</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w:t>
      </w:r>
    </w:p>
    <w:p w14:paraId="59714302">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截止</w:t>
      </w:r>
      <w:r>
        <w:rPr>
          <w:rFonts w:hint="eastAsia" w:ascii="仿宋_GB2312" w:hAnsi="仿宋_GB2312" w:cs="仿宋_GB2312"/>
          <w:color w:val="auto"/>
          <w:sz w:val="32"/>
          <w:szCs w:val="32"/>
          <w:highlight w:val="none"/>
          <w:lang w:val="en-US" w:eastAsia="zh-CN"/>
        </w:rPr>
        <w:t>2025</w:t>
      </w:r>
      <w:r>
        <w:rPr>
          <w:rFonts w:hint="eastAsia" w:ascii="仿宋_GB2312" w:hAnsi="仿宋_GB2312" w:eastAsia="仿宋_GB2312" w:cs="仿宋_GB2312"/>
          <w:color w:val="auto"/>
          <w:sz w:val="32"/>
          <w:szCs w:val="32"/>
          <w:highlight w:val="none"/>
          <w:lang w:val="en-US" w:eastAsia="zh-CN"/>
        </w:rPr>
        <w:t>年12月31日为止，已支出</w:t>
      </w:r>
      <w:r>
        <w:rPr>
          <w:rFonts w:hint="eastAsia" w:ascii="仿宋_GB2312" w:hAnsi="仿宋_GB2312" w:cs="仿宋_GB2312"/>
          <w:color w:val="auto"/>
          <w:sz w:val="32"/>
          <w:szCs w:val="32"/>
          <w:highlight w:val="none"/>
          <w:lang w:val="en-US" w:eastAsia="zh-CN"/>
        </w:rPr>
        <w:t>1707.25</w:t>
      </w:r>
      <w:r>
        <w:rPr>
          <w:rFonts w:hint="eastAsia" w:ascii="仿宋_GB2312" w:hAnsi="仿宋_GB2312" w:eastAsia="仿宋_GB2312" w:cs="仿宋_GB2312"/>
          <w:color w:val="auto"/>
          <w:sz w:val="32"/>
          <w:szCs w:val="32"/>
          <w:highlight w:val="none"/>
          <w:lang w:val="en-US" w:eastAsia="zh-CN"/>
        </w:rPr>
        <w:t>万元，资金执行率</w:t>
      </w:r>
      <w:r>
        <w:rPr>
          <w:rFonts w:hint="eastAsia" w:ascii="仿宋_GB2312" w:hAnsi="仿宋_GB2312" w:cs="仿宋_GB2312"/>
          <w:color w:val="auto"/>
          <w:sz w:val="32"/>
          <w:szCs w:val="32"/>
          <w:highlight w:val="none"/>
          <w:lang w:val="en-US" w:eastAsia="zh-CN"/>
        </w:rPr>
        <w:t>99.26%</w:t>
      </w:r>
      <w:r>
        <w:rPr>
          <w:rFonts w:hint="eastAsia" w:ascii="仿宋_GB2312" w:hAnsi="仿宋_GB2312" w:eastAsia="仿宋_GB2312" w:cs="仿宋_GB2312"/>
          <w:color w:val="auto"/>
          <w:sz w:val="32"/>
          <w:szCs w:val="32"/>
          <w:highlight w:val="none"/>
          <w:lang w:val="en-US" w:eastAsia="zh-CN"/>
        </w:rPr>
        <w:t>。各项资金拨付严格按照上级文件指示精神进行，支出均有相关的授权审批，资金拨付严格按审批程序进行，使用规范，会计核算结果真实、准确。</w:t>
      </w:r>
    </w:p>
    <w:p w14:paraId="300E9871">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en-US" w:eastAsia="zh-CN"/>
        </w:rPr>
        <w:t>项目绩效目标。</w:t>
      </w:r>
    </w:p>
    <w:p w14:paraId="0B7E788D">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总体目标：主要是购买不少于148个品类运动队专项器材，参加国内外竞赛不少于35场，预计取得奖牌数不少于100个，培养后备人才150人，外聘人员34人，通过项目实施，积极备战全国第十五届运动会，取得全运会度位人数不少于44人，争取获得名次人数6人以上，为新疆体育增光添彩。</w:t>
      </w:r>
    </w:p>
    <w:p w14:paraId="5475F060">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阶段性目标：无。</w:t>
      </w:r>
    </w:p>
    <w:p w14:paraId="6CE2F378">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黑体" w:hAnsi="黑体" w:eastAsia="黑体"/>
          <w:color w:val="auto"/>
          <w:sz w:val="32"/>
          <w:szCs w:val="32"/>
          <w:highlight w:val="none"/>
        </w:rPr>
      </w:pPr>
      <w:r>
        <w:rPr>
          <w:rFonts w:hint="eastAsia" w:ascii="黑体" w:hAnsi="黑体" w:eastAsia="黑体"/>
          <w:color w:val="auto"/>
          <w:sz w:val="32"/>
          <w:szCs w:val="32"/>
          <w:highlight w:val="none"/>
        </w:rPr>
        <w:t>二、绩效评价工作开展情况</w:t>
      </w:r>
    </w:p>
    <w:p w14:paraId="7381C8D7">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3" w:firstLineChars="200"/>
        <w:jc w:val="left"/>
        <w:textAlignment w:val="auto"/>
        <w:outlineLvl w:val="0"/>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（一）绩效评价目的、对象和范围。</w:t>
      </w:r>
    </w:p>
    <w:p w14:paraId="065D7FEE">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绩效评价旨在通过评价改善预算部门的财政支出管理，优化资源配置及提高公共服务水平。本次绩效评价我单位遵循《中华人民共和国预算法》、《中共中央国务院关于全面实施预算绩效管理的意见》（中发〔2018〕34号文）、《自治区党委 自治区人民政府关于全面实施预算绩效管理的实施意见》（新党发〔2018〕30号文）、《关于做好2019年自治区预算绩效管理工作》（新财预〔2019〕20号）、《自治区全面实施预算绩效管理的工作方案》（新财预〔2018〕158号）、《自治区财政支出事前绩效评估管理暂行办法》（新财预〔2019〕36号）文件要求，引入第三方主体，采用科学、规范的方法，依据既定的评价技术体系，为加强财政预算资金管理，客观公正地核查</w:t>
      </w:r>
      <w:r>
        <w:rPr>
          <w:rFonts w:hint="eastAsia" w:ascii="仿宋" w:hAnsi="仿宋" w:eastAsia="仿宋" w:cs="仿宋"/>
          <w:color w:val="auto"/>
          <w:kern w:val="0"/>
          <w:sz w:val="32"/>
          <w:szCs w:val="32"/>
          <w:highlight w:val="none"/>
          <w:lang w:eastAsia="zh-CN"/>
        </w:rPr>
        <w:t>青少年体育事业发展经费</w:t>
      </w:r>
      <w:r>
        <w:rPr>
          <w:rFonts w:hint="eastAsia" w:ascii="仿宋" w:hAnsi="仿宋" w:eastAsia="仿宋" w:cs="仿宋"/>
          <w:color w:val="auto"/>
          <w:kern w:val="0"/>
          <w:sz w:val="32"/>
          <w:szCs w:val="32"/>
          <w:highlight w:val="none"/>
          <w:lang w:val="en-US" w:eastAsia="zh-CN"/>
        </w:rPr>
        <w:t>项目</w:t>
      </w:r>
      <w:r>
        <w:rPr>
          <w:rFonts w:hint="eastAsia" w:ascii="仿宋_GB2312" w:hAnsi="仿宋_GB2312" w:eastAsia="仿宋_GB2312" w:cs="仿宋_GB2312"/>
          <w:color w:val="auto"/>
          <w:sz w:val="32"/>
          <w:szCs w:val="32"/>
          <w:highlight w:val="none"/>
          <w:lang w:val="en-US" w:eastAsia="zh-CN"/>
        </w:rPr>
        <w:t>设计目标实现程度，考核项目资金支出效率和综合效果，及时总结经验，分析存在问题及原因，切实采取有效措施进一步改进和加强财政专项资金管理，推动财政资金聚力增效，提高公共服务供给质量，增强政府公信力和执行力。</w:t>
      </w:r>
    </w:p>
    <w:p w14:paraId="102A43DB">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我单位从决策、过程、产出、成本和效果五个方面针对本项目进行评价，通过开展绩效评价，提高财政资金分配的科学性、有效性，向建立绩效预算制度迈出重要的一步。</w:t>
      </w:r>
    </w:p>
    <w:p w14:paraId="2512B16E">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3" w:firstLineChars="200"/>
        <w:jc w:val="left"/>
        <w:textAlignment w:val="auto"/>
        <w:outlineLvl w:val="0"/>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lang w:eastAsia="zh-CN"/>
        </w:rPr>
        <w:t>（二）</w:t>
      </w:r>
      <w:r>
        <w:rPr>
          <w:rFonts w:hint="eastAsia" w:ascii="楷体" w:hAnsi="楷体" w:eastAsia="楷体" w:cs="楷体"/>
          <w:b/>
          <w:bCs/>
          <w:color w:val="auto"/>
          <w:sz w:val="32"/>
          <w:szCs w:val="32"/>
          <w:highlight w:val="none"/>
        </w:rPr>
        <w:t>绩效评价原则、评价指标体系、评价方法、评价标准等。</w:t>
      </w:r>
    </w:p>
    <w:p w14:paraId="2B7BE9B9">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1、绩效评价原则</w:t>
      </w:r>
    </w:p>
    <w:p w14:paraId="0FB40977">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1</w:t>
      </w:r>
      <w:r>
        <w:rPr>
          <w:rFonts w:hint="default" w:ascii="仿宋_GB2312" w:hAnsi="仿宋_GB2312" w:eastAsia="仿宋_GB2312" w:cs="仿宋_GB2312"/>
          <w:color w:val="auto"/>
          <w:sz w:val="32"/>
          <w:szCs w:val="32"/>
          <w:highlight w:val="none"/>
          <w:lang w:val="en-US" w:eastAsia="zh-CN"/>
        </w:rPr>
        <w:t>）科学公正</w:t>
      </w:r>
      <w:r>
        <w:rPr>
          <w:rFonts w:hint="eastAsia" w:ascii="仿宋_GB2312" w:hAnsi="仿宋_GB2312" w:eastAsia="仿宋_GB2312" w:cs="仿宋_GB2312"/>
          <w:color w:val="auto"/>
          <w:sz w:val="32"/>
          <w:szCs w:val="32"/>
          <w:highlight w:val="none"/>
          <w:lang w:val="en-US" w:eastAsia="zh-CN"/>
        </w:rPr>
        <w:t>、科学规范原则</w:t>
      </w:r>
      <w:r>
        <w:rPr>
          <w:rFonts w:hint="default" w:ascii="仿宋_GB2312" w:hAnsi="仿宋_GB2312" w:eastAsia="仿宋_GB2312" w:cs="仿宋_GB2312"/>
          <w:color w:val="auto"/>
          <w:sz w:val="32"/>
          <w:szCs w:val="32"/>
          <w:highlight w:val="none"/>
          <w:lang w:val="en-US" w:eastAsia="zh-CN"/>
        </w:rPr>
        <w:t>。绩效评价应当运用科学合理的方法，按照规范的程序，对项目绩效进行客观、公正的反映</w:t>
      </w:r>
      <w:r>
        <w:rPr>
          <w:rFonts w:hint="eastAsia" w:ascii="仿宋_GB2312" w:hAnsi="仿宋_GB2312" w:eastAsia="仿宋_GB2312" w:cs="仿宋_GB2312"/>
          <w:color w:val="auto"/>
          <w:sz w:val="32"/>
          <w:szCs w:val="32"/>
          <w:highlight w:val="none"/>
          <w:lang w:val="en-US" w:eastAsia="zh-CN"/>
        </w:rPr>
        <w:t>，按照科学可行的要求，采用定量与定性分析相结合的方法。</w:t>
      </w:r>
    </w:p>
    <w:p w14:paraId="7C41C561">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2</w:t>
      </w: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分级分类原则</w:t>
      </w: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我单位根据</w:t>
      </w:r>
      <w:r>
        <w:rPr>
          <w:rFonts w:hint="default" w:ascii="仿宋_GB2312" w:hAnsi="仿宋_GB2312" w:eastAsia="仿宋_GB2312" w:cs="仿宋_GB2312"/>
          <w:color w:val="auto"/>
          <w:sz w:val="32"/>
          <w:szCs w:val="32"/>
          <w:highlight w:val="none"/>
          <w:lang w:val="en-US" w:eastAsia="zh-CN"/>
        </w:rPr>
        <w:t>“谁支出、谁自评”</w:t>
      </w:r>
      <w:r>
        <w:rPr>
          <w:rFonts w:hint="eastAsia" w:ascii="仿宋_GB2312" w:hAnsi="仿宋_GB2312" w:eastAsia="仿宋_GB2312" w:cs="仿宋_GB2312"/>
          <w:color w:val="auto"/>
          <w:sz w:val="32"/>
          <w:szCs w:val="32"/>
          <w:highlight w:val="none"/>
          <w:lang w:val="en-US" w:eastAsia="zh-CN"/>
        </w:rPr>
        <w:t>的原则，根据评价对象的特点分类组织实施绩效</w:t>
      </w:r>
      <w:r>
        <w:rPr>
          <w:rFonts w:hint="default" w:ascii="仿宋_GB2312" w:hAnsi="仿宋_GB2312" w:eastAsia="仿宋_GB2312" w:cs="仿宋_GB2312"/>
          <w:color w:val="auto"/>
          <w:sz w:val="32"/>
          <w:szCs w:val="32"/>
          <w:highlight w:val="none"/>
          <w:lang w:val="en-US" w:eastAsia="zh-CN"/>
        </w:rPr>
        <w:t>评价</w:t>
      </w:r>
      <w:r>
        <w:rPr>
          <w:rFonts w:hint="eastAsia" w:ascii="仿宋_GB2312" w:hAnsi="仿宋_GB2312" w:eastAsia="仿宋_GB2312" w:cs="仿宋_GB2312"/>
          <w:color w:val="auto"/>
          <w:sz w:val="32"/>
          <w:szCs w:val="32"/>
          <w:highlight w:val="none"/>
          <w:lang w:val="en-US" w:eastAsia="zh-CN"/>
        </w:rPr>
        <w:t>工作，与相关单位</w:t>
      </w:r>
      <w:r>
        <w:rPr>
          <w:rFonts w:hint="default" w:ascii="仿宋_GB2312" w:hAnsi="仿宋_GB2312" w:eastAsia="仿宋_GB2312" w:cs="仿宋_GB2312"/>
          <w:color w:val="auto"/>
          <w:sz w:val="32"/>
          <w:szCs w:val="32"/>
          <w:highlight w:val="none"/>
          <w:lang w:val="en-US" w:eastAsia="zh-CN"/>
        </w:rPr>
        <w:t>职责明确，各有侧重，相互衔接。</w:t>
      </w:r>
    </w:p>
    <w:p w14:paraId="0EB6C8A6">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3</w:t>
      </w: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绩效相关原则</w:t>
      </w: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我单位绩效评价针对具体投入及其产出绩效进行，评价结果清晰反映了支出和产出绩效之间的紧密对应关系。</w:t>
      </w:r>
    </w:p>
    <w:p w14:paraId="5CD6A785">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4</w:t>
      </w: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公正</w:t>
      </w:r>
      <w:r>
        <w:rPr>
          <w:rFonts w:hint="default" w:ascii="仿宋_GB2312" w:hAnsi="仿宋_GB2312" w:eastAsia="仿宋_GB2312" w:cs="仿宋_GB2312"/>
          <w:color w:val="auto"/>
          <w:sz w:val="32"/>
          <w:szCs w:val="32"/>
          <w:highlight w:val="none"/>
          <w:lang w:val="en-US" w:eastAsia="zh-CN"/>
        </w:rPr>
        <w:t>公开</w:t>
      </w:r>
      <w:r>
        <w:rPr>
          <w:rFonts w:hint="eastAsia" w:ascii="仿宋_GB2312" w:hAnsi="仿宋_GB2312" w:eastAsia="仿宋_GB2312" w:cs="仿宋_GB2312"/>
          <w:color w:val="auto"/>
          <w:sz w:val="32"/>
          <w:szCs w:val="32"/>
          <w:highlight w:val="none"/>
          <w:lang w:val="en-US" w:eastAsia="zh-CN"/>
        </w:rPr>
        <w:t>、</w:t>
      </w:r>
      <w:r>
        <w:rPr>
          <w:rFonts w:hint="default" w:ascii="仿宋_GB2312" w:hAnsi="仿宋_GB2312" w:eastAsia="仿宋_GB2312" w:cs="仿宋_GB2312"/>
          <w:color w:val="auto"/>
          <w:sz w:val="32"/>
          <w:szCs w:val="32"/>
          <w:highlight w:val="none"/>
          <w:lang w:val="en-US" w:eastAsia="zh-CN"/>
        </w:rPr>
        <w:t>透明</w:t>
      </w:r>
      <w:r>
        <w:rPr>
          <w:rFonts w:hint="eastAsia" w:ascii="仿宋_GB2312" w:hAnsi="仿宋_GB2312" w:eastAsia="仿宋_GB2312" w:cs="仿宋_GB2312"/>
          <w:color w:val="auto"/>
          <w:sz w:val="32"/>
          <w:szCs w:val="32"/>
          <w:highlight w:val="none"/>
          <w:lang w:val="en-US" w:eastAsia="zh-CN"/>
        </w:rPr>
        <w:t>原则</w:t>
      </w:r>
      <w:r>
        <w:rPr>
          <w:rFonts w:hint="default" w:ascii="仿宋_GB2312" w:hAnsi="仿宋_GB2312" w:eastAsia="仿宋_GB2312" w:cs="仿宋_GB2312"/>
          <w:color w:val="auto"/>
          <w:sz w:val="32"/>
          <w:szCs w:val="32"/>
          <w:highlight w:val="none"/>
          <w:lang w:val="en-US" w:eastAsia="zh-CN"/>
        </w:rPr>
        <w:t>。绩效评价结果</w:t>
      </w:r>
      <w:r>
        <w:rPr>
          <w:rFonts w:hint="eastAsia" w:ascii="仿宋_GB2312" w:hAnsi="仿宋_GB2312" w:eastAsia="仿宋_GB2312" w:cs="仿宋_GB2312"/>
          <w:color w:val="auto"/>
          <w:sz w:val="32"/>
          <w:szCs w:val="32"/>
          <w:highlight w:val="none"/>
          <w:lang w:val="en-US" w:eastAsia="zh-CN"/>
        </w:rPr>
        <w:t>应当符合真实、客观、公正的要求，</w:t>
      </w:r>
      <w:r>
        <w:rPr>
          <w:rFonts w:hint="default" w:ascii="仿宋_GB2312" w:hAnsi="仿宋_GB2312" w:eastAsia="仿宋_GB2312" w:cs="仿宋_GB2312"/>
          <w:color w:val="auto"/>
          <w:sz w:val="32"/>
          <w:szCs w:val="32"/>
          <w:highlight w:val="none"/>
          <w:lang w:val="en-US" w:eastAsia="zh-CN"/>
        </w:rPr>
        <w:t>依法依规公开，并自觉接受社会监督。</w:t>
      </w:r>
    </w:p>
    <w:p w14:paraId="2A7E2B8E">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2、评价指标体系</w:t>
      </w:r>
    </w:p>
    <w:p w14:paraId="5CD2A304">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评价指标体系是建立财政支出评价的载体，财政支出效益必须通过评价指标予以体现。科学、完整的评价指标体系是取得正确评价结果的先决条件，因而指标体系的设计应体现完整性、科学性及易操作性等特点，坚持经济性、效率性和有效性兼顾的原则，按照评价目标和财政支出范围分层设置。</w:t>
      </w:r>
    </w:p>
    <w:p w14:paraId="7D964E13">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zh-TW" w:eastAsia="zh-TW"/>
        </w:rPr>
      </w:pP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eastAsia="仿宋_GB2312" w:cs="仿宋_GB2312"/>
          <w:color w:val="auto"/>
          <w:sz w:val="32"/>
          <w:szCs w:val="32"/>
          <w:highlight w:val="none"/>
          <w:lang w:val="zh-TW" w:eastAsia="zh-TW"/>
        </w:rPr>
        <w:t>财政支出绩效评价指标体系严格按照《项目支出绩效评价管理办法》（财预〔2020〕10号）文件要求设置，</w:t>
      </w:r>
      <w:r>
        <w:rPr>
          <w:rFonts w:hint="eastAsia" w:ascii="仿宋_GB2312" w:hAnsi="仿宋_GB2312" w:eastAsia="仿宋_GB2312" w:cs="仿宋_GB2312"/>
          <w:color w:val="auto"/>
          <w:sz w:val="32"/>
          <w:szCs w:val="32"/>
          <w:highlight w:val="none"/>
          <w:lang w:val="en-US" w:eastAsia="zh-CN"/>
        </w:rPr>
        <w:t>指标体系设置一级指标共</w:t>
      </w:r>
      <w:r>
        <w:rPr>
          <w:rFonts w:hint="eastAsia" w:ascii="仿宋_GB2312" w:hAnsi="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val="en-US" w:eastAsia="zh-CN"/>
        </w:rPr>
        <w:t>个</w:t>
      </w:r>
      <w:r>
        <w:rPr>
          <w:rFonts w:hint="eastAsia" w:ascii="仿宋_GB2312" w:hAnsi="仿宋_GB2312" w:eastAsia="仿宋_GB2312" w:cs="仿宋_GB2312"/>
          <w:color w:val="auto"/>
          <w:sz w:val="32"/>
          <w:szCs w:val="32"/>
          <w:highlight w:val="none"/>
          <w:lang w:val="zh-TW" w:eastAsia="zh-TW"/>
        </w:rPr>
        <w:t>，包括决策</w:t>
      </w:r>
      <w:r>
        <w:rPr>
          <w:rFonts w:hint="eastAsia" w:ascii="仿宋_GB2312" w:hAnsi="仿宋_GB2312" w:eastAsia="仿宋_GB2312" w:cs="仿宋_GB2312"/>
          <w:color w:val="auto"/>
          <w:sz w:val="32"/>
          <w:szCs w:val="32"/>
          <w:highlight w:val="none"/>
          <w:lang w:val="en-US" w:eastAsia="zh-CN"/>
        </w:rPr>
        <w:t>指标</w:t>
      </w:r>
      <w:r>
        <w:rPr>
          <w:rFonts w:hint="eastAsia" w:ascii="仿宋_GB2312" w:hAnsi="仿宋_GB2312" w:eastAsia="仿宋_GB2312" w:cs="仿宋_GB2312"/>
          <w:color w:val="auto"/>
          <w:sz w:val="32"/>
          <w:szCs w:val="32"/>
          <w:highlight w:val="none"/>
          <w:lang w:val="zh-TW" w:eastAsia="zh-TW"/>
        </w:rPr>
        <w:t>（2</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lang w:val="zh-TW" w:eastAsia="zh-TW"/>
        </w:rPr>
        <w:t>%）、</w:t>
      </w:r>
      <w:r>
        <w:rPr>
          <w:rFonts w:hint="eastAsia" w:ascii="仿宋_GB2312" w:hAnsi="仿宋_GB2312" w:eastAsia="仿宋_GB2312" w:cs="仿宋_GB2312"/>
          <w:color w:val="auto"/>
          <w:sz w:val="32"/>
          <w:szCs w:val="32"/>
          <w:highlight w:val="none"/>
          <w:lang w:val="en-US" w:eastAsia="zh-CN"/>
        </w:rPr>
        <w:t>过程指标</w:t>
      </w:r>
      <w:r>
        <w:rPr>
          <w:rFonts w:hint="eastAsia" w:ascii="仿宋_GB2312" w:hAnsi="仿宋_GB2312" w:eastAsia="仿宋_GB2312" w:cs="仿宋_GB2312"/>
          <w:color w:val="auto"/>
          <w:sz w:val="32"/>
          <w:szCs w:val="32"/>
          <w:highlight w:val="none"/>
          <w:lang w:val="zh-TW" w:eastAsia="zh-TW"/>
        </w:rPr>
        <w:t>（</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val="zh-TW" w:eastAsia="zh-TW"/>
        </w:rPr>
        <w:t>%）、</w:t>
      </w:r>
      <w:r>
        <w:rPr>
          <w:rFonts w:hint="eastAsia" w:ascii="仿宋_GB2312" w:hAnsi="仿宋_GB2312" w:eastAsia="仿宋_GB2312" w:cs="仿宋_GB2312"/>
          <w:color w:val="auto"/>
          <w:sz w:val="32"/>
          <w:szCs w:val="32"/>
          <w:highlight w:val="none"/>
          <w:lang w:val="en-US" w:eastAsia="zh-CN"/>
        </w:rPr>
        <w:t>产出指标（20%）、成本指标（10%）、效益指标（30%）五类</w:t>
      </w:r>
      <w:r>
        <w:rPr>
          <w:rFonts w:hint="eastAsia" w:ascii="仿宋_GB2312" w:hAnsi="仿宋_GB2312" w:eastAsia="仿宋_GB2312" w:cs="仿宋_GB2312"/>
          <w:color w:val="auto"/>
          <w:sz w:val="32"/>
          <w:szCs w:val="32"/>
          <w:highlight w:val="none"/>
          <w:lang w:val="zh-TW" w:eastAsia="zh-TW"/>
        </w:rPr>
        <w:t>指标；主要围绕资金使用、项目管理、资源配置等方面，客观分析项目的产出和效果，从而考察项目预算定额标准的合理性，进而提出完善意见。整个评价框架构成体现从投入、过程到产出、效果和影响的绩效逻辑路径。</w:t>
      </w:r>
    </w:p>
    <w:p w14:paraId="7F730BC3">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我单位经过一系列论证，从决策、过程、产出、成本和效果五个过程进行评价，涉及二级指标10个，三级指标17个，具体评价指标体系附表说明：</w:t>
      </w:r>
    </w:p>
    <w:p w14:paraId="2BD9C523">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sectPr>
          <w:pgSz w:w="11906" w:h="16838"/>
          <w:pgMar w:top="2098" w:right="1531" w:bottom="1984" w:left="1531" w:header="737" w:footer="851" w:gutter="0"/>
          <w:cols w:space="720" w:num="1"/>
          <w:docGrid w:type="lines" w:linePitch="408" w:charSpace="0"/>
        </w:sectPr>
      </w:pPr>
    </w:p>
    <w:p w14:paraId="52BD8A46">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3.评价方法</w:t>
      </w:r>
    </w:p>
    <w:p w14:paraId="14E22868">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成本效益分析法。是指将投入与产出、效益进行关联性分析的方法。 </w:t>
      </w:r>
    </w:p>
    <w:p w14:paraId="0F09A17D">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比较法。是指将实施情况与绩效目标、历史情况、不同部门和地区同类支出情况进行比较的方法。</w:t>
      </w:r>
    </w:p>
    <w:p w14:paraId="05759390">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最低成本法。是指在绩效目标确定的前提下，成本最小者为优的方法。</w:t>
      </w:r>
    </w:p>
    <w:p w14:paraId="390416AC">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标杆管理法。是指以国内外同行业中较高的绩效水平为标杆进行评判的方法。</w:t>
      </w:r>
    </w:p>
    <w:p w14:paraId="451678D8">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结合本单位项目开展具体情况，我单位采用了比较法、成本效益分析法，通过着重</w:t>
      </w:r>
      <w:r>
        <w:rPr>
          <w:rFonts w:hint="default" w:ascii="仿宋_GB2312" w:hAnsi="仿宋_GB2312" w:eastAsia="仿宋_GB2312" w:cs="仿宋_GB2312"/>
          <w:color w:val="auto"/>
          <w:sz w:val="32"/>
          <w:szCs w:val="32"/>
          <w:highlight w:val="none"/>
          <w:lang w:val="en-US" w:eastAsia="zh-CN"/>
        </w:rPr>
        <w:t>比较项目的全部成本和效益来评估项目价值</w:t>
      </w:r>
      <w:r>
        <w:rPr>
          <w:rFonts w:hint="eastAsia" w:ascii="仿宋_GB2312" w:hAnsi="仿宋_GB2312" w:eastAsia="仿宋_GB2312" w:cs="仿宋_GB2312"/>
          <w:color w:val="auto"/>
          <w:sz w:val="32"/>
          <w:szCs w:val="32"/>
          <w:highlight w:val="none"/>
          <w:lang w:val="en-US" w:eastAsia="zh-CN"/>
        </w:rPr>
        <w:t>，确定三级指标得分情况。</w:t>
      </w:r>
    </w:p>
    <w:p w14:paraId="33830D18">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4、评价标准</w:t>
      </w:r>
    </w:p>
    <w:p w14:paraId="6E7197CE">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绩效评价标准通常包括计划标准、行业标准、历史标准等，用于对绩效指标完成情况进行比较。</w:t>
      </w:r>
      <w:r>
        <w:rPr>
          <w:rFonts w:hint="eastAsia" w:ascii="仿宋_GB2312" w:hAnsi="仿宋_GB2312" w:eastAsia="仿宋_GB2312" w:cs="仿宋_GB2312"/>
          <w:color w:val="auto"/>
          <w:sz w:val="32"/>
          <w:szCs w:val="32"/>
          <w:highlight w:val="none"/>
          <w:lang w:val="en-US" w:eastAsia="zh-CN"/>
        </w:rPr>
        <w:t>我单位针对该项目采用的历史评价标准，参考近三年绩效指标平均值、上年值，</w:t>
      </w:r>
      <w:r>
        <w:rPr>
          <w:rFonts w:hint="default" w:ascii="仿宋_GB2312" w:hAnsi="仿宋_GB2312" w:eastAsia="仿宋_GB2312" w:cs="仿宋_GB2312"/>
          <w:color w:val="auto"/>
          <w:sz w:val="32"/>
          <w:szCs w:val="32"/>
          <w:highlight w:val="none"/>
          <w:lang w:val="en-US" w:eastAsia="zh-CN"/>
        </w:rPr>
        <w:t>对绩效指标完成情况进行</w:t>
      </w:r>
      <w:r>
        <w:rPr>
          <w:rFonts w:hint="eastAsia" w:ascii="仿宋_GB2312" w:hAnsi="仿宋_GB2312" w:eastAsia="仿宋_GB2312" w:cs="仿宋_GB2312"/>
          <w:color w:val="auto"/>
          <w:sz w:val="32"/>
          <w:szCs w:val="32"/>
          <w:highlight w:val="none"/>
          <w:lang w:val="en-US" w:eastAsia="zh-CN"/>
        </w:rPr>
        <w:t>评价</w:t>
      </w:r>
      <w:r>
        <w:rPr>
          <w:rFonts w:hint="default" w:ascii="仿宋_GB2312" w:hAnsi="仿宋_GB2312" w:eastAsia="仿宋_GB2312" w:cs="仿宋_GB2312"/>
          <w:color w:val="auto"/>
          <w:sz w:val="32"/>
          <w:szCs w:val="32"/>
          <w:highlight w:val="none"/>
          <w:lang w:val="en-US" w:eastAsia="zh-CN"/>
        </w:rPr>
        <w:t>。</w:t>
      </w:r>
    </w:p>
    <w:p w14:paraId="3A54196A">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5、其他相关依据文件及项目单位提供的其他佐证材料等</w:t>
      </w:r>
    </w:p>
    <w:p w14:paraId="1015FFC7">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依据上述评价标准，项目部门需提供的佐证材料为工作资料：部门总结、相关业务资料等。说明材料：针对无直接佐证材料或者综合性的内容，由相关单位、人员出具正式说明。</w:t>
      </w:r>
    </w:p>
    <w:p w14:paraId="03C33139">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br w:type="page"/>
      </w:r>
    </w:p>
    <w:p w14:paraId="1309A7D6">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（三）绩效评价工作过程。</w:t>
      </w:r>
    </w:p>
    <w:p w14:paraId="117EACFD">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为了提高财政资金分配的科学性、有效性，加强财政专项资金管理，提高支出效益，我单位自项目下达之日高度重视，具体绩效评价工作过程如下:</w:t>
      </w:r>
    </w:p>
    <w:p w14:paraId="1230221F">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1、确定绩效评价对象和范围</w:t>
      </w:r>
    </w:p>
    <w:p w14:paraId="50CE634A">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根据绩效评价工作重点及预算管理要求确定了绩效评价对象。我单位从产出、效果和满意度三个方面针对本项目进行评价，评价的范围包括项目具体的数量指标、质量指标、时效指标、社会效益指标及满意度指标等。</w:t>
      </w:r>
    </w:p>
    <w:p w14:paraId="25F0E86D">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2、收集绩效评价相关数据资料</w:t>
      </w:r>
    </w:p>
    <w:p w14:paraId="5388138C">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我单位根据需要采取要求相关部门提供资料，包括工作资料、部门总结、相关业务资料、原始凭证、合同、说明材料等。</w:t>
      </w:r>
    </w:p>
    <w:p w14:paraId="23341E31">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3、与项目相关科室交换意见</w:t>
      </w:r>
    </w:p>
    <w:p w14:paraId="6C0673A5">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我单位绩效评价工作人员及时将绩效评价结果反馈到相关部门，并就绩效评价结果进行积极的沟通，进一步完善评价报告。</w:t>
      </w:r>
    </w:p>
    <w:p w14:paraId="5A6B09AE">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3" w:firstLineChars="200"/>
        <w:jc w:val="lef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cs="仿宋_GB2312"/>
          <w:b/>
          <w:bCs/>
          <w:color w:val="auto"/>
          <w:sz w:val="32"/>
          <w:szCs w:val="32"/>
          <w:highlight w:val="none"/>
          <w:lang w:val="en-US" w:eastAsia="zh-CN"/>
        </w:rPr>
        <w:t>三、</w:t>
      </w:r>
      <w:r>
        <w:rPr>
          <w:rFonts w:hint="eastAsia" w:ascii="仿宋_GB2312" w:hAnsi="仿宋_GB2312" w:eastAsia="仿宋_GB2312" w:cs="仿宋_GB2312"/>
          <w:b/>
          <w:bCs/>
          <w:color w:val="auto"/>
          <w:sz w:val="32"/>
          <w:szCs w:val="32"/>
          <w:highlight w:val="none"/>
          <w:lang w:val="en-US" w:eastAsia="zh-CN"/>
        </w:rPr>
        <w:t>综合评价情况及评价结论</w:t>
      </w:r>
    </w:p>
    <w:p w14:paraId="6B9B3C69">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项目具有明确的目标，项目实施过程中严格按自治区及地区有关项目管理和经费管理规定执行，合理控制成本、使用资金。我单位领导团结一致，群策群力，明确项目执行计划、考核指标等事项，严格按照相关的管理制度和办法，组织人力、物力完成项目各阶段的任务。项目实施后惠及群众，效果较好。</w:t>
      </w:r>
    </w:p>
    <w:p w14:paraId="4D71332A">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经认真对照《项目支出绩效评价指标体系》，我单位</w:t>
      </w:r>
      <w:r>
        <w:rPr>
          <w:rFonts w:hint="eastAsia" w:ascii="仿宋_GB2312" w:hAnsi="仿宋_GB2312" w:cs="仿宋_GB2312"/>
          <w:color w:val="auto"/>
          <w:sz w:val="32"/>
          <w:szCs w:val="32"/>
          <w:highlight w:val="none"/>
          <w:lang w:val="en-US" w:eastAsia="zh-CN"/>
        </w:rPr>
        <w:t>体育赛事备战专项资金</w:t>
      </w:r>
      <w:r>
        <w:rPr>
          <w:rFonts w:hint="eastAsia" w:ascii="仿宋_GB2312" w:hAnsi="仿宋_GB2312" w:eastAsia="仿宋_GB2312" w:cs="仿宋_GB2312"/>
          <w:color w:val="auto"/>
          <w:sz w:val="32"/>
          <w:szCs w:val="32"/>
          <w:highlight w:val="none"/>
          <w:lang w:val="en-US" w:eastAsia="zh-CN"/>
        </w:rPr>
        <w:t>指标都较好地达到了相关要求，项目评价得分：</w:t>
      </w:r>
      <w:r>
        <w:rPr>
          <w:rFonts w:hint="eastAsia" w:ascii="仿宋_GB2312" w:hAnsi="仿宋_GB2312" w:cs="仿宋_GB2312"/>
          <w:color w:val="auto"/>
          <w:sz w:val="32"/>
          <w:szCs w:val="32"/>
          <w:highlight w:val="none"/>
          <w:lang w:val="en-US" w:eastAsia="zh-CN"/>
        </w:rPr>
        <w:t>97.22</w:t>
      </w:r>
      <w:r>
        <w:rPr>
          <w:rFonts w:hint="eastAsia" w:ascii="仿宋_GB2312" w:hAnsi="仿宋_GB2312" w:eastAsia="仿宋_GB2312" w:cs="仿宋_GB2312"/>
          <w:color w:val="auto"/>
          <w:sz w:val="32"/>
          <w:szCs w:val="32"/>
          <w:highlight w:val="none"/>
          <w:lang w:val="en-US" w:eastAsia="zh-CN"/>
        </w:rPr>
        <w:t>分，评价等级为：</w:t>
      </w:r>
      <w:r>
        <w:rPr>
          <w:rFonts w:hint="eastAsia" w:ascii="仿宋_GB2312" w:hAnsi="仿宋_GB2312" w:cs="仿宋_GB2312"/>
          <w:color w:val="auto"/>
          <w:sz w:val="32"/>
          <w:szCs w:val="32"/>
          <w:highlight w:val="none"/>
          <w:lang w:val="en-US" w:eastAsia="zh-CN"/>
        </w:rPr>
        <w:t>优</w:t>
      </w:r>
      <w:r>
        <w:rPr>
          <w:rFonts w:hint="eastAsia" w:ascii="仿宋_GB2312" w:hAnsi="仿宋_GB2312" w:eastAsia="仿宋_GB2312" w:cs="仿宋_GB2312"/>
          <w:color w:val="auto"/>
          <w:sz w:val="32"/>
          <w:szCs w:val="32"/>
          <w:highlight w:val="none"/>
          <w:lang w:val="en-US" w:eastAsia="zh-CN"/>
        </w:rPr>
        <w:t>。具体得分情况</w:t>
      </w:r>
      <w:r>
        <w:rPr>
          <w:rFonts w:hint="eastAsia" w:ascii="仿宋_GB2312" w:hAnsi="仿宋_GB2312" w:cs="仿宋_GB2312"/>
          <w:color w:val="auto"/>
          <w:sz w:val="32"/>
          <w:szCs w:val="32"/>
          <w:highlight w:val="none"/>
          <w:lang w:val="en-US" w:eastAsia="zh-CN"/>
        </w:rPr>
        <w:t>附表说明</w:t>
      </w:r>
      <w:r>
        <w:rPr>
          <w:rFonts w:hint="eastAsia" w:ascii="仿宋_GB2312" w:hAnsi="仿宋_GB2312" w:eastAsia="仿宋_GB2312" w:cs="仿宋_GB2312"/>
          <w:color w:val="auto"/>
          <w:sz w:val="32"/>
          <w:szCs w:val="32"/>
          <w:highlight w:val="none"/>
          <w:lang w:val="en-US" w:eastAsia="zh-CN"/>
        </w:rPr>
        <w:t>：</w:t>
      </w:r>
    </w:p>
    <w:p w14:paraId="06B27BF0">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3" w:firstLineChars="200"/>
        <w:jc w:val="lef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四、绩效评价指标分析</w:t>
      </w:r>
    </w:p>
    <w:p w14:paraId="303081E1">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3" w:firstLineChars="200"/>
        <w:textAlignment w:val="auto"/>
        <w:outlineLvl w:val="0"/>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（一）项目决策分析</w:t>
      </w:r>
    </w:p>
    <w:p w14:paraId="6D46D8A7">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项目决策分析主要是对项目立项、绩效目标及资金投入进行分析。项目决策类指标由3个二级指标和6个三级指标构成，该项满分为20分，得分</w:t>
      </w:r>
      <w:r>
        <w:rPr>
          <w:rFonts w:hint="eastAsia" w:ascii="仿宋_GB2312" w:hAnsi="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val="en-US" w:eastAsia="zh-CN"/>
        </w:rPr>
        <w:t>分，得分率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w:t>
      </w:r>
    </w:p>
    <w:p w14:paraId="5B0832BF">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1、项目立项分析（得分</w:t>
      </w:r>
      <w:r>
        <w:rPr>
          <w:rFonts w:hint="eastAsia" w:ascii="仿宋_GB2312" w:hAnsi="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lang w:val="en-US" w:eastAsia="zh-CN"/>
        </w:rPr>
        <w:t>分）</w:t>
      </w:r>
    </w:p>
    <w:p w14:paraId="73FE006C">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（1）立项依据充分性（得分</w:t>
      </w: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分）</w:t>
      </w:r>
    </w:p>
    <w:p w14:paraId="531EF33B">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①项目立项依据是根据《中华人民共和国体育法》《新疆维吾尔自治区体育发展条例》《奥运争光计划纲要》</w:t>
      </w:r>
      <w:r>
        <w:rPr>
          <w:rFonts w:hint="eastAsia" w:ascii="仿宋_GB2312" w:hAnsi="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符合国家法律法规和相关政策；</w:t>
      </w:r>
    </w:p>
    <w:p w14:paraId="1D5928D2">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②项目立项依据《自治区财政资金使用跟踪反馈管理暂行办法》（新财预﹝2016﹞113)</w:t>
      </w:r>
      <w:r>
        <w:rPr>
          <w:rFonts w:hint="eastAsia" w:ascii="仿宋_GB2312" w:hAnsi="仿宋_GB2312" w:cs="仿宋_GB2312"/>
          <w:color w:val="auto"/>
          <w:sz w:val="32"/>
          <w:szCs w:val="32"/>
          <w:highlight w:val="none"/>
          <w:lang w:val="en-US" w:eastAsia="zh-CN"/>
        </w:rPr>
        <w:t>、《新疆维吾尔自治区彩票公益金管理办法》（新财规﹝2021﹞14号）</w:t>
      </w:r>
      <w:r>
        <w:rPr>
          <w:rFonts w:hint="eastAsia" w:ascii="仿宋_GB2312" w:hAnsi="仿宋_GB2312" w:eastAsia="仿宋_GB2312" w:cs="仿宋_GB2312"/>
          <w:color w:val="auto"/>
          <w:sz w:val="32"/>
          <w:szCs w:val="32"/>
          <w:highlight w:val="none"/>
          <w:lang w:val="en-US" w:eastAsia="zh-CN"/>
        </w:rPr>
        <w:t>符合部门或行业发展规划和政策要求；</w:t>
      </w:r>
    </w:p>
    <w:p w14:paraId="0004DC93">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（2）立项程序规范性（得分</w:t>
      </w: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分）</w:t>
      </w:r>
    </w:p>
    <w:p w14:paraId="6EDFCA22">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①项目按照规定的程序申请设立；</w:t>
      </w:r>
    </w:p>
    <w:p w14:paraId="19F72A27">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②审批文件、材料符合相关要求；以相关法律、法规、规章以及财政部有关文件等为依据，并收集足够的相关文件及资料，通过现场调研为评估结论提供充分的依据支持。</w:t>
      </w:r>
    </w:p>
    <w:p w14:paraId="69084F60">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2、绩效目标分析（得分</w:t>
      </w:r>
      <w:r>
        <w:rPr>
          <w:rFonts w:hint="eastAsia" w:ascii="仿宋_GB2312" w:hAnsi="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lang w:val="en-US" w:eastAsia="zh-CN"/>
        </w:rPr>
        <w:t>分）</w:t>
      </w:r>
    </w:p>
    <w:p w14:paraId="58026613">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（1）绩效目标合理性（得分</w:t>
      </w: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en-US" w:eastAsia="zh-CN"/>
        </w:rPr>
        <w:t>分）</w:t>
      </w:r>
    </w:p>
    <w:p w14:paraId="5FF6E58F">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项目设定绩效目标；项目设定一级指标</w:t>
      </w: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个，二级指标</w:t>
      </w:r>
      <w:r>
        <w:rPr>
          <w:rFonts w:hint="eastAsia" w:ascii="仿宋_GB2312" w:hAnsi="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val="en-US" w:eastAsia="zh-CN"/>
        </w:rPr>
        <w:t>个，三级指标</w:t>
      </w:r>
      <w:r>
        <w:rPr>
          <w:rFonts w:hint="eastAsia" w:ascii="仿宋_GB2312" w:hAnsi="仿宋_GB2312" w:cs="仿宋_GB2312"/>
          <w:color w:val="auto"/>
          <w:sz w:val="32"/>
          <w:szCs w:val="32"/>
          <w:highlight w:val="none"/>
          <w:lang w:val="en-US" w:eastAsia="zh-CN"/>
        </w:rPr>
        <w:t>15</w:t>
      </w:r>
      <w:r>
        <w:rPr>
          <w:rFonts w:hint="eastAsia" w:ascii="仿宋_GB2312" w:hAnsi="仿宋_GB2312" w:eastAsia="仿宋_GB2312" w:cs="仿宋_GB2312"/>
          <w:color w:val="auto"/>
          <w:sz w:val="32"/>
          <w:szCs w:val="32"/>
          <w:highlight w:val="none"/>
          <w:lang w:val="en-US" w:eastAsia="zh-CN"/>
        </w:rPr>
        <w:t>个。项目绩效目标与实际工作内容具有相关性；项目预期产出效益和效果符合正常的业绩水平；与预算确定的项目投资额或资金量相匹配。</w:t>
      </w:r>
    </w:p>
    <w:p w14:paraId="741486B4">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en-US" w:eastAsia="zh-CN"/>
        </w:rPr>
        <w:t>绩效指标明确性（得分</w:t>
      </w: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en-US" w:eastAsia="zh-CN"/>
        </w:rPr>
        <w:t>分）</w:t>
      </w:r>
    </w:p>
    <w:p w14:paraId="62F4747F">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项目实施有明确的年度目标，且将绩效目标细化为一级指标</w:t>
      </w: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个，二级指标</w:t>
      </w:r>
      <w:r>
        <w:rPr>
          <w:rFonts w:hint="eastAsia" w:ascii="仿宋_GB2312" w:hAnsi="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val="en-US" w:eastAsia="zh-CN"/>
        </w:rPr>
        <w:t>个，三级指标</w:t>
      </w:r>
      <w:r>
        <w:rPr>
          <w:rFonts w:hint="eastAsia" w:ascii="仿宋_GB2312" w:hAnsi="仿宋_GB2312" w:cs="仿宋_GB2312"/>
          <w:color w:val="auto"/>
          <w:sz w:val="32"/>
          <w:szCs w:val="32"/>
          <w:highlight w:val="none"/>
          <w:lang w:val="en-US" w:eastAsia="zh-CN"/>
        </w:rPr>
        <w:t>15</w:t>
      </w:r>
      <w:r>
        <w:rPr>
          <w:rFonts w:hint="eastAsia" w:ascii="仿宋_GB2312" w:hAnsi="仿宋_GB2312" w:eastAsia="仿宋_GB2312" w:cs="仿宋_GB2312"/>
          <w:color w:val="auto"/>
          <w:sz w:val="32"/>
          <w:szCs w:val="32"/>
          <w:highlight w:val="none"/>
          <w:lang w:val="en-US" w:eastAsia="zh-CN"/>
        </w:rPr>
        <w:t>个。</w:t>
      </w:r>
    </w:p>
    <w:p w14:paraId="59876FE4">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①将项目绩效目标细化分解为具体的绩效指标如下：</w:t>
      </w:r>
    </w:p>
    <w:p w14:paraId="0DD6DE90">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default"/>
          <w:lang w:val="en-US" w:eastAsia="zh-CN"/>
        </w:rPr>
      </w:pPr>
      <w:r>
        <w:rPr>
          <w:rFonts w:hint="default" w:ascii="仿宋_GB2312" w:hAnsi="仿宋_GB2312" w:eastAsia="仿宋_GB2312" w:cs="仿宋_GB2312"/>
          <w:color w:val="auto"/>
          <w:sz w:val="32"/>
          <w:szCs w:val="32"/>
          <w:highlight w:val="none"/>
          <w:lang w:val="en-US" w:eastAsia="zh-CN"/>
        </w:rPr>
        <w:t>数量指标</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cs="仿宋_GB2312"/>
          <w:color w:val="auto"/>
          <w:sz w:val="32"/>
          <w:szCs w:val="32"/>
          <w:highlight w:val="none"/>
          <w:lang w:val="en-US" w:eastAsia="zh-CN"/>
        </w:rPr>
        <w:t>购买运动队专项器材品类&gt;=148个；参加国内外竞赛场次&gt;=35场；后备人才培养人数&gt;=150人；外聘人员人数&gt;=34人；备战项目数量&gt;=5个；备战运动员人数&gt;=100人；租赁参赛马匹数量&gt;=5匹；取得全运会席位人数&gt;=44人；马术队出国备战人数&gt;=1人。</w:t>
      </w:r>
    </w:p>
    <w:p w14:paraId="03185CC4">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default" w:ascii="仿宋_GB2312" w:hAnsi="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质量指标</w:t>
      </w:r>
      <w:r>
        <w:rPr>
          <w:rFonts w:hint="eastAsia" w:ascii="仿宋_GB2312" w:hAnsi="仿宋_GB2312" w:cs="仿宋_GB2312"/>
          <w:color w:val="auto"/>
          <w:sz w:val="32"/>
          <w:szCs w:val="32"/>
          <w:highlight w:val="none"/>
          <w:lang w:val="en-US" w:eastAsia="zh-CN"/>
        </w:rPr>
        <w:t>：购买运动队专项器材验收合格率&gt;=95%；外聘人员合格率&gt;=95%。</w:t>
      </w:r>
    </w:p>
    <w:p w14:paraId="723A3452">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时效</w:t>
      </w:r>
      <w:r>
        <w:rPr>
          <w:rFonts w:hint="default" w:ascii="仿宋_GB2312" w:hAnsi="仿宋_GB2312" w:eastAsia="仿宋_GB2312" w:cs="仿宋_GB2312"/>
          <w:color w:val="auto"/>
          <w:sz w:val="32"/>
          <w:szCs w:val="32"/>
          <w:highlight w:val="none"/>
          <w:lang w:val="en-US" w:eastAsia="zh-CN"/>
        </w:rPr>
        <w:t>指标</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cs="仿宋_GB2312"/>
          <w:color w:val="auto"/>
          <w:sz w:val="32"/>
          <w:szCs w:val="32"/>
          <w:highlight w:val="none"/>
          <w:lang w:val="en-US" w:eastAsia="zh-CN"/>
        </w:rPr>
        <w:t>运动员按时参赛率=100%。</w:t>
      </w:r>
    </w:p>
    <w:p w14:paraId="6D86CC7F">
      <w:pPr>
        <w:pStyle w:val="2"/>
        <w:keepLines w:val="0"/>
        <w:pageBreakBefore w:val="0"/>
        <w:kinsoku/>
        <w:wordWrap/>
        <w:overflowPunct/>
        <w:topLinePunct w:val="0"/>
        <w:autoSpaceDE/>
        <w:autoSpaceDN/>
        <w:bidi w:val="0"/>
        <w:adjustRightInd/>
        <w:snapToGrid/>
        <w:spacing w:before="0" w:after="0" w:line="520" w:lineRule="exact"/>
        <w:ind w:left="0" w:leftChars="0" w:right="0" w:rightChars="0"/>
        <w:textAlignment w:val="auto"/>
        <w:rPr>
          <w:rFonts w:hint="default"/>
          <w:b w:val="0"/>
          <w:bCs w:val="0"/>
          <w:lang w:val="en-US" w:eastAsia="zh-CN"/>
        </w:rPr>
      </w:pPr>
      <w:r>
        <w:rPr>
          <w:rFonts w:hint="eastAsia" w:ascii="仿宋_GB2312" w:hAnsi="仿宋_GB2312" w:cs="仿宋_GB2312"/>
          <w:color w:val="auto"/>
          <w:sz w:val="32"/>
          <w:szCs w:val="32"/>
          <w:highlight w:val="none"/>
          <w:lang w:val="en-US" w:eastAsia="zh-CN"/>
        </w:rPr>
        <w:t xml:space="preserve">    </w:t>
      </w:r>
      <w:r>
        <w:rPr>
          <w:rFonts w:hint="eastAsia" w:ascii="仿宋_GB2312" w:hAnsi="仿宋_GB2312" w:cs="仿宋_GB2312"/>
          <w:b w:val="0"/>
          <w:bCs w:val="0"/>
          <w:color w:val="auto"/>
          <w:sz w:val="32"/>
          <w:szCs w:val="32"/>
          <w:highlight w:val="none"/>
          <w:lang w:val="en-US" w:eastAsia="zh-CN"/>
        </w:rPr>
        <w:t>社会效益指标：取得奖牌数量&gt;=100个；全运会取得名次数量&gt;=6个。</w:t>
      </w:r>
    </w:p>
    <w:p w14:paraId="4175802C">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服务对象满意度指标</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cs="仿宋_GB2312"/>
          <w:color w:val="auto"/>
          <w:sz w:val="32"/>
          <w:szCs w:val="32"/>
          <w:highlight w:val="none"/>
          <w:lang w:val="en-US" w:eastAsia="zh-CN"/>
        </w:rPr>
        <w:t>运动员满意度&gt;=90%。</w:t>
      </w:r>
    </w:p>
    <w:p w14:paraId="008DD1A4">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②绩效指标通过清晰、可衡量的指标值予以体现；通过指标设定数与实际完成数对比，各项指标均已完成。</w:t>
      </w:r>
    </w:p>
    <w:p w14:paraId="097413F8">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③与项目目标任务数或计划数相对应。</w:t>
      </w:r>
    </w:p>
    <w:p w14:paraId="695CB6F9">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3、资金投入分析（得分6分）</w:t>
      </w:r>
    </w:p>
    <w:p w14:paraId="2C864F30">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预算编制科学性（得分3分）：本项目预算</w:t>
      </w:r>
      <w:r>
        <w:rPr>
          <w:rFonts w:hint="eastAsia" w:ascii="仿宋_GB2312" w:hAnsi="仿宋_GB2312" w:cs="仿宋_GB2312"/>
          <w:color w:val="auto"/>
          <w:sz w:val="32"/>
          <w:szCs w:val="32"/>
          <w:highlight w:val="none"/>
          <w:lang w:val="en-US" w:eastAsia="zh-CN"/>
        </w:rPr>
        <w:t>1719.94</w:t>
      </w:r>
      <w:r>
        <w:rPr>
          <w:rFonts w:hint="eastAsia" w:ascii="仿宋_GB2312" w:hAnsi="仿宋_GB2312" w:eastAsia="仿宋_GB2312" w:cs="仿宋_GB2312"/>
          <w:color w:val="auto"/>
          <w:sz w:val="32"/>
          <w:szCs w:val="32"/>
          <w:highlight w:val="none"/>
          <w:lang w:val="en-US" w:eastAsia="zh-CN"/>
        </w:rPr>
        <w:t>万元，项目预算内容与项目内容相匹配，预算确定的项目资金量与实际工作完成所需资金量基本相适应。</w:t>
      </w:r>
    </w:p>
    <w:p w14:paraId="18301B2B">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资金分配合理性（得分3分）：预算资金分配依据充分；资金分配额度与实际工作完成所需资金量相适应。</w:t>
      </w:r>
    </w:p>
    <w:p w14:paraId="52DAB25F">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3" w:firstLineChars="200"/>
        <w:textAlignment w:val="auto"/>
        <w:outlineLvl w:val="0"/>
        <w:rPr>
          <w:rFonts w:hint="default"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（二）过程情况分析</w:t>
      </w:r>
    </w:p>
    <w:p w14:paraId="5FC85F6F">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项目过程指标由</w:t>
      </w:r>
      <w:r>
        <w:rPr>
          <w:rFonts w:hint="eastAsia" w:ascii="仿宋_GB2312"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en-US" w:eastAsia="zh-CN"/>
        </w:rPr>
        <w:t>个二级指标和</w:t>
      </w:r>
      <w:r>
        <w:rPr>
          <w:rFonts w:hint="eastAsia" w:ascii="仿宋_GB2312" w:hAnsi="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val="en-US" w:eastAsia="zh-CN"/>
        </w:rPr>
        <w:t>个三级指标构成，该项满分为20分，得分</w:t>
      </w:r>
      <w:r>
        <w:rPr>
          <w:rFonts w:hint="eastAsia" w:ascii="仿宋_GB2312" w:hAnsi="仿宋_GB2312" w:cs="仿宋_GB2312"/>
          <w:color w:val="auto"/>
          <w:sz w:val="32"/>
          <w:szCs w:val="32"/>
          <w:highlight w:val="none"/>
          <w:lang w:val="en-US" w:eastAsia="zh-CN"/>
        </w:rPr>
        <w:t>19.82</w:t>
      </w:r>
      <w:r>
        <w:rPr>
          <w:rFonts w:hint="eastAsia" w:ascii="仿宋_GB2312" w:hAnsi="仿宋_GB2312" w:eastAsia="仿宋_GB2312" w:cs="仿宋_GB2312"/>
          <w:color w:val="auto"/>
          <w:sz w:val="32"/>
          <w:szCs w:val="32"/>
          <w:highlight w:val="none"/>
          <w:lang w:val="en-US" w:eastAsia="zh-CN"/>
        </w:rPr>
        <w:t>分，得分率</w:t>
      </w:r>
      <w:r>
        <w:rPr>
          <w:rFonts w:hint="eastAsia" w:ascii="仿宋_GB2312" w:hAnsi="仿宋_GB2312" w:cs="仿宋_GB2312"/>
          <w:color w:val="auto"/>
          <w:sz w:val="32"/>
          <w:szCs w:val="32"/>
          <w:highlight w:val="none"/>
          <w:lang w:val="en-US" w:eastAsia="zh-CN"/>
        </w:rPr>
        <w:t>99.1</w:t>
      </w:r>
      <w:r>
        <w:rPr>
          <w:rFonts w:hint="eastAsia" w:ascii="仿宋_GB2312" w:hAnsi="仿宋_GB2312" w:eastAsia="仿宋_GB2312" w:cs="仿宋_GB2312"/>
          <w:color w:val="auto"/>
          <w:sz w:val="32"/>
          <w:szCs w:val="32"/>
          <w:highlight w:val="none"/>
          <w:lang w:val="en-US" w:eastAsia="zh-CN"/>
        </w:rPr>
        <w:t>%。项目建立了比较健全的配套资金管理制度，且在项目实施过程中能够按照管理执行。</w:t>
      </w:r>
    </w:p>
    <w:p w14:paraId="072A7C09">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1、资金管理分析（得分</w:t>
      </w:r>
      <w:r>
        <w:rPr>
          <w:rFonts w:hint="eastAsia" w:ascii="仿宋_GB2312" w:hAnsi="仿宋_GB2312" w:cs="仿宋_GB2312"/>
          <w:color w:val="auto"/>
          <w:sz w:val="32"/>
          <w:szCs w:val="32"/>
          <w:highlight w:val="none"/>
          <w:lang w:val="en-US" w:eastAsia="zh-CN"/>
        </w:rPr>
        <w:t>11.82</w:t>
      </w:r>
      <w:r>
        <w:rPr>
          <w:rFonts w:hint="eastAsia" w:ascii="仿宋_GB2312" w:hAnsi="仿宋_GB2312" w:eastAsia="仿宋_GB2312" w:cs="仿宋_GB2312"/>
          <w:color w:val="auto"/>
          <w:sz w:val="32"/>
          <w:szCs w:val="32"/>
          <w:highlight w:val="none"/>
          <w:lang w:val="en-US" w:eastAsia="zh-CN"/>
        </w:rPr>
        <w:t>分）</w:t>
      </w:r>
    </w:p>
    <w:p w14:paraId="4860BD8E">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（1）资金到位率（得分4分）</w:t>
      </w:r>
    </w:p>
    <w:p w14:paraId="286EC2AD">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资金到位率用以反映和考核资金落实情况对项目实施的总体保障程度。资金到位率=（实际到位资金/预算资金）×100%。本项目实际到位资金</w:t>
      </w:r>
      <w:r>
        <w:rPr>
          <w:rFonts w:hint="eastAsia" w:ascii="仿宋_GB2312" w:hAnsi="仿宋_GB2312" w:cs="仿宋_GB2312"/>
          <w:color w:val="auto"/>
          <w:sz w:val="32"/>
          <w:szCs w:val="32"/>
          <w:highlight w:val="none"/>
          <w:lang w:val="en-US" w:eastAsia="zh-CN"/>
        </w:rPr>
        <w:t>1719.94</w:t>
      </w:r>
      <w:r>
        <w:rPr>
          <w:rFonts w:hint="eastAsia" w:ascii="仿宋_GB2312" w:hAnsi="仿宋_GB2312" w:eastAsia="仿宋_GB2312" w:cs="仿宋_GB2312"/>
          <w:color w:val="auto"/>
          <w:sz w:val="32"/>
          <w:szCs w:val="32"/>
          <w:highlight w:val="none"/>
          <w:lang w:val="en-US" w:eastAsia="zh-CN"/>
        </w:rPr>
        <w:t>万元，预算资金</w:t>
      </w:r>
      <w:r>
        <w:rPr>
          <w:rFonts w:hint="eastAsia" w:ascii="仿宋_GB2312" w:hAnsi="仿宋_GB2312" w:cs="仿宋_GB2312"/>
          <w:color w:val="auto"/>
          <w:sz w:val="32"/>
          <w:szCs w:val="32"/>
          <w:highlight w:val="none"/>
          <w:lang w:val="en-US" w:eastAsia="zh-CN"/>
        </w:rPr>
        <w:t>1719.94</w:t>
      </w:r>
      <w:r>
        <w:rPr>
          <w:rFonts w:hint="eastAsia" w:ascii="仿宋_GB2312" w:hAnsi="仿宋_GB2312" w:eastAsia="仿宋_GB2312" w:cs="仿宋_GB2312"/>
          <w:color w:val="auto"/>
          <w:sz w:val="32"/>
          <w:szCs w:val="32"/>
          <w:highlight w:val="none"/>
          <w:lang w:val="en-US" w:eastAsia="zh-CN"/>
        </w:rPr>
        <w:t>万元，资金到位率100%。</w:t>
      </w:r>
    </w:p>
    <w:p w14:paraId="27993C72">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（2）预算执行率（得分</w:t>
      </w:r>
      <w:r>
        <w:rPr>
          <w:rFonts w:hint="eastAsia" w:ascii="仿宋_GB2312" w:hAnsi="仿宋_GB2312" w:cs="仿宋_GB2312"/>
          <w:color w:val="auto"/>
          <w:sz w:val="32"/>
          <w:szCs w:val="32"/>
          <w:highlight w:val="none"/>
          <w:lang w:val="en-US" w:eastAsia="zh-CN"/>
        </w:rPr>
        <w:t>3.82</w:t>
      </w:r>
      <w:r>
        <w:rPr>
          <w:rFonts w:hint="eastAsia" w:ascii="仿宋_GB2312" w:hAnsi="仿宋_GB2312" w:eastAsia="仿宋_GB2312" w:cs="仿宋_GB2312"/>
          <w:color w:val="auto"/>
          <w:sz w:val="32"/>
          <w:szCs w:val="32"/>
          <w:highlight w:val="none"/>
          <w:lang w:val="en-US" w:eastAsia="zh-CN"/>
        </w:rPr>
        <w:t>分）</w:t>
      </w:r>
    </w:p>
    <w:p w14:paraId="1970AE14">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预算执行率</w:t>
      </w:r>
      <w:r>
        <w:rPr>
          <w:rFonts w:hint="default" w:ascii="仿宋_GB2312" w:hAnsi="仿宋_GB2312" w:eastAsia="仿宋_GB2312" w:cs="仿宋_GB2312"/>
          <w:color w:val="auto"/>
          <w:sz w:val="32"/>
          <w:szCs w:val="32"/>
          <w:highlight w:val="none"/>
          <w:lang w:val="en-US" w:eastAsia="zh-CN"/>
        </w:rPr>
        <w:t>用以反映或考核项目预算执行情况。预算执行率=（实际支出资金/实际到位资金）×100%。</w:t>
      </w:r>
      <w:r>
        <w:rPr>
          <w:rFonts w:hint="eastAsia" w:ascii="仿宋_GB2312" w:hAnsi="仿宋_GB2312" w:eastAsia="仿宋_GB2312" w:cs="仿宋_GB2312"/>
          <w:color w:val="auto"/>
          <w:sz w:val="32"/>
          <w:szCs w:val="32"/>
          <w:highlight w:val="none"/>
          <w:lang w:val="en-US" w:eastAsia="zh-CN"/>
        </w:rPr>
        <w:t>本项目实际到位资金</w:t>
      </w:r>
      <w:r>
        <w:rPr>
          <w:rFonts w:hint="eastAsia" w:ascii="仿宋_GB2312" w:hAnsi="仿宋_GB2312" w:cs="仿宋_GB2312"/>
          <w:color w:val="auto"/>
          <w:sz w:val="32"/>
          <w:szCs w:val="32"/>
          <w:highlight w:val="none"/>
          <w:lang w:val="en-US" w:eastAsia="zh-CN"/>
        </w:rPr>
        <w:t>1719.94</w:t>
      </w:r>
      <w:r>
        <w:rPr>
          <w:rFonts w:hint="eastAsia" w:ascii="仿宋_GB2312" w:hAnsi="仿宋_GB2312" w:eastAsia="仿宋_GB2312" w:cs="仿宋_GB2312"/>
          <w:color w:val="auto"/>
          <w:sz w:val="32"/>
          <w:szCs w:val="32"/>
          <w:highlight w:val="none"/>
          <w:lang w:val="en-US" w:eastAsia="zh-CN"/>
        </w:rPr>
        <w:t>万元，</w:t>
      </w:r>
      <w:r>
        <w:rPr>
          <w:rFonts w:hint="default" w:ascii="仿宋_GB2312" w:hAnsi="仿宋_GB2312" w:eastAsia="仿宋_GB2312" w:cs="仿宋_GB2312"/>
          <w:color w:val="auto"/>
          <w:sz w:val="32"/>
          <w:szCs w:val="32"/>
          <w:highlight w:val="none"/>
          <w:lang w:val="en-US" w:eastAsia="zh-CN"/>
        </w:rPr>
        <w:t>实际支出资金</w:t>
      </w:r>
      <w:r>
        <w:rPr>
          <w:rFonts w:hint="eastAsia" w:ascii="仿宋_GB2312" w:hAnsi="仿宋_GB2312" w:cs="仿宋_GB2312"/>
          <w:color w:val="auto"/>
          <w:sz w:val="32"/>
          <w:szCs w:val="32"/>
          <w:highlight w:val="none"/>
          <w:lang w:val="en-US" w:eastAsia="zh-CN"/>
        </w:rPr>
        <w:t>1707.25</w:t>
      </w:r>
      <w:r>
        <w:rPr>
          <w:rFonts w:hint="eastAsia" w:ascii="仿宋_GB2312" w:hAnsi="仿宋_GB2312" w:eastAsia="仿宋_GB2312" w:cs="仿宋_GB2312"/>
          <w:color w:val="auto"/>
          <w:sz w:val="32"/>
          <w:szCs w:val="32"/>
          <w:highlight w:val="none"/>
          <w:lang w:val="en-US" w:eastAsia="zh-CN"/>
        </w:rPr>
        <w:t>万元，预算执行率</w:t>
      </w:r>
      <w:r>
        <w:rPr>
          <w:rFonts w:hint="eastAsia" w:ascii="仿宋_GB2312" w:hAnsi="仿宋_GB2312" w:cs="仿宋_GB2312"/>
          <w:color w:val="auto"/>
          <w:sz w:val="32"/>
          <w:szCs w:val="32"/>
          <w:highlight w:val="none"/>
          <w:lang w:val="en-US" w:eastAsia="zh-CN"/>
        </w:rPr>
        <w:t>99.26</w:t>
      </w:r>
      <w:r>
        <w:rPr>
          <w:rFonts w:hint="eastAsia" w:ascii="仿宋_GB2312" w:hAnsi="仿宋_GB2312" w:eastAsia="仿宋_GB2312" w:cs="仿宋_GB2312"/>
          <w:color w:val="auto"/>
          <w:sz w:val="32"/>
          <w:szCs w:val="32"/>
          <w:highlight w:val="none"/>
          <w:lang w:val="en-US" w:eastAsia="zh-CN"/>
        </w:rPr>
        <w:t>%。本项目任务</w:t>
      </w:r>
      <w:r>
        <w:rPr>
          <w:rFonts w:hint="eastAsia" w:ascii="仿宋_GB2312" w:hAnsi="仿宋_GB2312" w:cs="仿宋_GB2312"/>
          <w:color w:val="auto"/>
          <w:sz w:val="32"/>
          <w:szCs w:val="32"/>
          <w:highlight w:val="none"/>
          <w:lang w:val="en-US" w:eastAsia="zh-CN"/>
        </w:rPr>
        <w:t>基本</w:t>
      </w:r>
      <w:r>
        <w:rPr>
          <w:rFonts w:hint="eastAsia" w:ascii="仿宋_GB2312" w:hAnsi="仿宋_GB2312" w:eastAsia="仿宋_GB2312" w:cs="仿宋_GB2312"/>
          <w:color w:val="auto"/>
          <w:sz w:val="32"/>
          <w:szCs w:val="32"/>
          <w:highlight w:val="none"/>
          <w:lang w:val="en-US" w:eastAsia="zh-CN"/>
        </w:rPr>
        <w:t>完成。</w:t>
      </w:r>
    </w:p>
    <w:p w14:paraId="2A837BC1">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（3）资金使用合规性（得分4分）</w:t>
      </w:r>
    </w:p>
    <w:p w14:paraId="53FA98FB">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项目资金严格按照《关于印发&lt;自治区财政资金使用跟踪反馈管理暂行办法&gt;的通知》（新财预字[2016]113号）等相关专项资金、项目管理办法执行，按比例按资金用途使用，实行专款专用、严禁挤占挪用。确保资金安全、项目发挥效益。</w:t>
      </w:r>
      <w:r>
        <w:rPr>
          <w:rFonts w:hint="default" w:ascii="仿宋_GB2312" w:hAnsi="仿宋_GB2312" w:eastAsia="仿宋_GB2312" w:cs="仿宋_GB2312"/>
          <w:color w:val="auto"/>
          <w:sz w:val="32"/>
          <w:szCs w:val="32"/>
          <w:highlight w:val="none"/>
          <w:lang w:val="en-US" w:eastAsia="zh-CN"/>
        </w:rPr>
        <w:t>资金的拨付有完整的审批程序和手续；符合项目预算批复或合同规定的用途；</w:t>
      </w:r>
      <w:r>
        <w:rPr>
          <w:rFonts w:hint="eastAsia" w:ascii="仿宋_GB2312" w:hAnsi="仿宋_GB2312" w:eastAsia="仿宋_GB2312" w:cs="仿宋_GB2312"/>
          <w:color w:val="auto"/>
          <w:sz w:val="32"/>
          <w:szCs w:val="32"/>
          <w:highlight w:val="none"/>
          <w:lang w:val="en-US" w:eastAsia="zh-CN"/>
        </w:rPr>
        <w:t>不</w:t>
      </w:r>
      <w:r>
        <w:rPr>
          <w:rFonts w:hint="default" w:ascii="仿宋_GB2312" w:hAnsi="仿宋_GB2312" w:eastAsia="仿宋_GB2312" w:cs="仿宋_GB2312"/>
          <w:color w:val="auto"/>
          <w:sz w:val="32"/>
          <w:szCs w:val="32"/>
          <w:highlight w:val="none"/>
          <w:lang w:val="en-US" w:eastAsia="zh-CN"/>
        </w:rPr>
        <w:t>存在截留、挤占、挪用、虚列支出等情况</w:t>
      </w:r>
      <w:r>
        <w:rPr>
          <w:rFonts w:hint="eastAsia" w:ascii="仿宋_GB2312" w:hAnsi="仿宋_GB2312" w:eastAsia="仿宋_GB2312" w:cs="仿宋_GB2312"/>
          <w:color w:val="auto"/>
          <w:sz w:val="32"/>
          <w:szCs w:val="32"/>
          <w:highlight w:val="none"/>
          <w:lang w:val="en-US" w:eastAsia="zh-CN"/>
        </w:rPr>
        <w:t>。</w:t>
      </w:r>
    </w:p>
    <w:p w14:paraId="42F4592D">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2、组织实施分析（得分8分）</w:t>
      </w:r>
    </w:p>
    <w:p w14:paraId="12AD96DF">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（1）管理制度健全性（得分4分）</w:t>
      </w:r>
    </w:p>
    <w:p w14:paraId="50712C91">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项目资金严格按照《关于印发&lt;自治区财政资金使用跟踪反馈管理暂行办法&gt;的通知》（新财预字[2016]113号）等相关专项资金、项目管理办法执行，按比例按资金用途使用，实行专款专用、严禁挤占挪用。确保资金安全、项目发挥效益。资金的拨付有完整的审批程序和手续；符合项目预算批复或合同规定的用途；不存在截留、挤占、挪用、虚列支出等情况。</w:t>
      </w:r>
    </w:p>
    <w:p w14:paraId="4967D8C5">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（2）制度执行有效性（得分4分）</w:t>
      </w:r>
    </w:p>
    <w:p w14:paraId="512FA0E6">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资金严格按照根据《中华人民共和国预算法》，加强对项目资金的预算执行及日常监督管理，确保每个项目按照规定的用途实施。资金拨付坚持按项目、预算、进度、指定用途拨款，确保财政专项资金规范使用。</w:t>
      </w:r>
    </w:p>
    <w:p w14:paraId="2EFFDA67">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项目立项依据、实施方案、财务信息等资料齐全并及时归档；项目实施的人员条件、场地设备、信息支撑等落实到位。</w:t>
      </w:r>
    </w:p>
    <w:p w14:paraId="272BB70A">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3" w:firstLineChars="200"/>
        <w:textAlignment w:val="auto"/>
        <w:outlineLvl w:val="0"/>
        <w:rPr>
          <w:rFonts w:hint="default"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（三）产出情况分析</w:t>
      </w:r>
    </w:p>
    <w:p w14:paraId="6152113F">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cs="仿宋_GB2312"/>
          <w:color w:val="auto"/>
          <w:sz w:val="32"/>
          <w:szCs w:val="32"/>
          <w:highlight w:val="none"/>
          <w:lang w:val="en-US" w:eastAsia="zh-CN"/>
        </w:rPr>
        <w:t>产出</w:t>
      </w:r>
      <w:r>
        <w:rPr>
          <w:rFonts w:hint="eastAsia" w:ascii="仿宋_GB2312" w:hAnsi="仿宋_GB2312" w:eastAsia="仿宋_GB2312" w:cs="仿宋_GB2312"/>
          <w:color w:val="auto"/>
          <w:sz w:val="32"/>
          <w:szCs w:val="32"/>
          <w:highlight w:val="none"/>
          <w:lang w:val="en-US" w:eastAsia="zh-CN"/>
        </w:rPr>
        <w:t>包括产出数量、产出质量</w:t>
      </w:r>
      <w:r>
        <w:rPr>
          <w:rFonts w:hint="eastAsia" w:ascii="仿宋_GB2312" w:hAnsi="仿宋_GB2312" w:cs="仿宋_GB2312"/>
          <w:color w:val="auto"/>
          <w:sz w:val="32"/>
          <w:szCs w:val="32"/>
          <w:highlight w:val="none"/>
          <w:lang w:val="en-US" w:eastAsia="zh-CN"/>
        </w:rPr>
        <w:t>、产出时效3</w:t>
      </w:r>
      <w:r>
        <w:rPr>
          <w:rFonts w:hint="eastAsia" w:ascii="仿宋_GB2312" w:hAnsi="仿宋_GB2312" w:eastAsia="仿宋_GB2312" w:cs="仿宋_GB2312"/>
          <w:color w:val="auto"/>
          <w:sz w:val="32"/>
          <w:szCs w:val="32"/>
          <w:highlight w:val="none"/>
          <w:lang w:val="en-US" w:eastAsia="zh-CN"/>
        </w:rPr>
        <w:t>个二级指标。该项满分为</w:t>
      </w:r>
      <w:r>
        <w:rPr>
          <w:rFonts w:hint="eastAsia" w:ascii="仿宋_GB2312" w:hAnsi="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val="en-US" w:eastAsia="zh-CN"/>
        </w:rPr>
        <w:t>分，得分</w:t>
      </w:r>
      <w:r>
        <w:rPr>
          <w:rFonts w:hint="eastAsia" w:ascii="仿宋_GB2312" w:hAnsi="仿宋_GB2312" w:cs="仿宋_GB2312"/>
          <w:color w:val="auto"/>
          <w:sz w:val="32"/>
          <w:szCs w:val="32"/>
          <w:highlight w:val="none"/>
          <w:lang w:val="en-US" w:eastAsia="zh-CN"/>
        </w:rPr>
        <w:t>17.4</w:t>
      </w:r>
      <w:r>
        <w:rPr>
          <w:rFonts w:hint="eastAsia" w:ascii="仿宋_GB2312" w:hAnsi="仿宋_GB2312" w:eastAsia="仿宋_GB2312" w:cs="仿宋_GB2312"/>
          <w:color w:val="auto"/>
          <w:sz w:val="32"/>
          <w:szCs w:val="32"/>
          <w:highlight w:val="none"/>
          <w:lang w:val="en-US" w:eastAsia="zh-CN"/>
        </w:rPr>
        <w:t>分，得分率</w:t>
      </w:r>
      <w:r>
        <w:rPr>
          <w:rFonts w:hint="eastAsia" w:ascii="仿宋_GB2312" w:hAnsi="仿宋_GB2312" w:cs="仿宋_GB2312"/>
          <w:color w:val="auto"/>
          <w:sz w:val="32"/>
          <w:szCs w:val="32"/>
          <w:highlight w:val="none"/>
          <w:lang w:val="en-US" w:eastAsia="zh-CN"/>
        </w:rPr>
        <w:t>87</w:t>
      </w:r>
      <w:r>
        <w:rPr>
          <w:rFonts w:hint="eastAsia" w:ascii="仿宋_GB2312" w:hAnsi="仿宋_GB2312" w:eastAsia="仿宋_GB2312" w:cs="仿宋_GB2312"/>
          <w:color w:val="auto"/>
          <w:sz w:val="32"/>
          <w:szCs w:val="32"/>
          <w:highlight w:val="none"/>
          <w:lang w:val="en-US" w:eastAsia="zh-CN"/>
        </w:rPr>
        <w:t>%。</w:t>
      </w:r>
    </w:p>
    <w:p w14:paraId="7D5347E7">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val="en-US" w:eastAsia="zh-CN"/>
        </w:rPr>
        <w:t>产出数量分析（得分</w:t>
      </w:r>
      <w:r>
        <w:rPr>
          <w:rFonts w:hint="eastAsia" w:ascii="仿宋_GB2312" w:hAnsi="仿宋_GB2312" w:cs="仿宋_GB2312"/>
          <w:color w:val="auto"/>
          <w:sz w:val="32"/>
          <w:szCs w:val="32"/>
          <w:highlight w:val="none"/>
          <w:lang w:val="en-US" w:eastAsia="zh-CN"/>
        </w:rPr>
        <w:t>7.4</w:t>
      </w:r>
      <w:r>
        <w:rPr>
          <w:rFonts w:hint="eastAsia" w:ascii="仿宋_GB2312" w:hAnsi="仿宋_GB2312" w:eastAsia="仿宋_GB2312" w:cs="仿宋_GB2312"/>
          <w:color w:val="auto"/>
          <w:sz w:val="32"/>
          <w:szCs w:val="32"/>
          <w:highlight w:val="none"/>
          <w:lang w:val="en-US" w:eastAsia="zh-CN"/>
        </w:rPr>
        <w:t>分）</w:t>
      </w:r>
    </w:p>
    <w:p w14:paraId="67331DB3">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数量指标：指标1：</w:t>
      </w:r>
      <w:r>
        <w:rPr>
          <w:rFonts w:hint="eastAsia" w:ascii="仿宋_GB2312" w:hAnsi="仿宋_GB2312" w:cs="仿宋_GB2312"/>
          <w:color w:val="auto"/>
          <w:sz w:val="32"/>
          <w:szCs w:val="32"/>
          <w:highlight w:val="none"/>
          <w:lang w:val="en-US" w:eastAsia="zh-CN"/>
        </w:rPr>
        <w:t>购买运动队专项器材品类</w:t>
      </w:r>
      <w:r>
        <w:rPr>
          <w:rFonts w:hint="eastAsia" w:ascii="仿宋_GB2312" w:hAnsi="仿宋_GB2312" w:eastAsia="仿宋_GB2312" w:cs="仿宋_GB2312"/>
          <w:color w:val="auto"/>
          <w:sz w:val="32"/>
          <w:szCs w:val="32"/>
          <w:highlight w:val="none"/>
          <w:lang w:val="en-US" w:eastAsia="zh-CN"/>
        </w:rPr>
        <w:t>，指</w:t>
      </w:r>
      <w:r>
        <w:rPr>
          <w:rFonts w:hint="eastAsia" w:ascii="仿宋_GB2312" w:hAnsi="仿宋_GB2312" w:cs="仿宋_GB2312"/>
          <w:color w:val="auto"/>
          <w:sz w:val="32"/>
          <w:szCs w:val="32"/>
          <w:highlight w:val="none"/>
          <w:lang w:val="en-US" w:eastAsia="zh-CN"/>
        </w:rPr>
        <w:t>标值：&gt;=148个，实际完成值147个，指标完成率99.32%。</w:t>
      </w:r>
    </w:p>
    <w:p w14:paraId="378E4B39">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指标2：参加国内外竞赛场次</w:t>
      </w:r>
      <w:r>
        <w:rPr>
          <w:rFonts w:hint="eastAsia" w:ascii="仿宋_GB2312" w:hAnsi="仿宋_GB2312" w:eastAsia="仿宋_GB2312" w:cs="仿宋_GB2312"/>
          <w:color w:val="auto"/>
          <w:sz w:val="32"/>
          <w:szCs w:val="32"/>
          <w:highlight w:val="none"/>
          <w:lang w:val="en-US" w:eastAsia="zh-CN"/>
        </w:rPr>
        <w:t>，指</w:t>
      </w:r>
      <w:r>
        <w:rPr>
          <w:rFonts w:hint="eastAsia" w:ascii="仿宋_GB2312" w:hAnsi="仿宋_GB2312" w:cs="仿宋_GB2312"/>
          <w:color w:val="auto"/>
          <w:sz w:val="32"/>
          <w:szCs w:val="32"/>
          <w:highlight w:val="none"/>
          <w:lang w:val="en-US" w:eastAsia="zh-CN"/>
        </w:rPr>
        <w:t>标值：&gt;=35场，实际完成值42场，指标完成率100%。</w:t>
      </w:r>
    </w:p>
    <w:p w14:paraId="20F085C5">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指标</w:t>
      </w: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cs="仿宋_GB2312"/>
          <w:color w:val="auto"/>
          <w:sz w:val="32"/>
          <w:szCs w:val="32"/>
          <w:highlight w:val="none"/>
          <w:lang w:val="en-US" w:eastAsia="zh-CN"/>
        </w:rPr>
        <w:t>后备人才培养人数，</w:t>
      </w:r>
      <w:r>
        <w:rPr>
          <w:rFonts w:hint="eastAsia" w:ascii="仿宋_GB2312" w:hAnsi="仿宋_GB2312" w:eastAsia="仿宋_GB2312" w:cs="仿宋_GB2312"/>
          <w:color w:val="auto"/>
          <w:sz w:val="32"/>
          <w:szCs w:val="32"/>
          <w:highlight w:val="none"/>
          <w:lang w:val="en-US" w:eastAsia="zh-CN"/>
        </w:rPr>
        <w:t>指</w:t>
      </w:r>
      <w:r>
        <w:rPr>
          <w:rFonts w:hint="eastAsia" w:ascii="仿宋_GB2312" w:hAnsi="仿宋_GB2312" w:cs="仿宋_GB2312"/>
          <w:color w:val="auto"/>
          <w:sz w:val="32"/>
          <w:szCs w:val="32"/>
          <w:highlight w:val="none"/>
          <w:lang w:val="en-US" w:eastAsia="zh-CN"/>
        </w:rPr>
        <w:t>标值：＞=150人，实际完成值155人，指标完成率100%。</w:t>
      </w:r>
    </w:p>
    <w:p w14:paraId="495400EA">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指标</w:t>
      </w: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cs="仿宋_GB2312"/>
          <w:color w:val="auto"/>
          <w:sz w:val="32"/>
          <w:szCs w:val="32"/>
          <w:highlight w:val="none"/>
          <w:lang w:val="en-US" w:eastAsia="zh-CN"/>
        </w:rPr>
        <w:t>外聘人员人数，</w:t>
      </w:r>
      <w:r>
        <w:rPr>
          <w:rFonts w:hint="eastAsia" w:ascii="仿宋_GB2312" w:hAnsi="仿宋_GB2312" w:eastAsia="仿宋_GB2312" w:cs="仿宋_GB2312"/>
          <w:color w:val="auto"/>
          <w:sz w:val="32"/>
          <w:szCs w:val="32"/>
          <w:highlight w:val="none"/>
          <w:lang w:val="en-US" w:eastAsia="zh-CN"/>
        </w:rPr>
        <w:t>指</w:t>
      </w:r>
      <w:r>
        <w:rPr>
          <w:rFonts w:hint="eastAsia" w:ascii="仿宋_GB2312" w:hAnsi="仿宋_GB2312" w:cs="仿宋_GB2312"/>
          <w:color w:val="auto"/>
          <w:sz w:val="32"/>
          <w:szCs w:val="32"/>
          <w:highlight w:val="none"/>
          <w:lang w:val="en-US" w:eastAsia="zh-CN"/>
        </w:rPr>
        <w:t>标值：&gt;=34人，实际完成值34人，指标完成率100%。</w:t>
      </w:r>
    </w:p>
    <w:p w14:paraId="00009463">
      <w:pPr>
        <w:pStyle w:val="2"/>
        <w:keepLines w:val="0"/>
        <w:pageBreakBefore w:val="0"/>
        <w:kinsoku/>
        <w:wordWrap/>
        <w:overflowPunct/>
        <w:topLinePunct w:val="0"/>
        <w:autoSpaceDE/>
        <w:autoSpaceDN/>
        <w:bidi w:val="0"/>
        <w:adjustRightInd/>
        <w:snapToGrid/>
        <w:spacing w:before="0" w:after="0" w:line="520" w:lineRule="exact"/>
        <w:ind w:left="0" w:leftChars="0" w:right="0" w:rightChars="0"/>
        <w:textAlignment w:val="auto"/>
        <w:rPr>
          <w:rFonts w:hint="eastAsia" w:ascii="仿宋_GB2312" w:hAnsi="仿宋_GB2312" w:cs="仿宋_GB2312"/>
          <w:b w:val="0"/>
          <w:bCs w:val="0"/>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 xml:space="preserve">  </w:t>
      </w:r>
      <w:r>
        <w:rPr>
          <w:rFonts w:hint="eastAsia" w:ascii="仿宋_GB2312" w:hAnsi="仿宋_GB2312" w:cs="仿宋_GB2312"/>
          <w:b w:val="0"/>
          <w:bCs w:val="0"/>
          <w:color w:val="auto"/>
          <w:sz w:val="32"/>
          <w:szCs w:val="32"/>
          <w:highlight w:val="none"/>
          <w:lang w:val="en-US" w:eastAsia="zh-CN"/>
        </w:rPr>
        <w:t xml:space="preserve">  指标5：备战项目数量，指标值：&gt;=5个，实际完成值5个，指标完成率100%。</w:t>
      </w:r>
    </w:p>
    <w:p w14:paraId="640CAACB">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指标6：备战运动员人数，指标值：&gt;=100人，实际完成值113人，指标完成率100%。</w:t>
      </w:r>
    </w:p>
    <w:p w14:paraId="44C9C91B">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指标7：租赁参赛马匹数量，指标值：&gt;=5匹，实际完成值4匹，指标完成率80%。</w:t>
      </w:r>
    </w:p>
    <w:p w14:paraId="2C42855B">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指标8：取得全运会席位人数，指标值：&gt;=44人，实际完成值44人，指标完成率100%。</w:t>
      </w:r>
    </w:p>
    <w:p w14:paraId="3F2AE973">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default"/>
          <w:highlight w:val="none"/>
          <w:lang w:val="en-US" w:eastAsia="zh-CN"/>
        </w:rPr>
      </w:pPr>
      <w:r>
        <w:rPr>
          <w:rFonts w:hint="eastAsia" w:ascii="仿宋_GB2312" w:hAnsi="仿宋_GB2312" w:cs="仿宋_GB2312"/>
          <w:color w:val="auto"/>
          <w:sz w:val="32"/>
          <w:szCs w:val="32"/>
          <w:highlight w:val="none"/>
          <w:lang w:val="en-US" w:eastAsia="zh-CN"/>
        </w:rPr>
        <w:t>指标9：马术队出国备战人数，指标值：&gt;=1人，实际完成值2人，指标完成率100%。</w:t>
      </w:r>
    </w:p>
    <w:p w14:paraId="6D3BB44A">
      <w:pPr>
        <w:keepLines w:val="0"/>
        <w:pageBreakBefore w:val="0"/>
        <w:kinsoku/>
        <w:wordWrap/>
        <w:overflowPunct/>
        <w:topLinePunct w:val="0"/>
        <w:autoSpaceDE/>
        <w:autoSpaceDN/>
        <w:bidi w:val="0"/>
        <w:adjustRightInd/>
        <w:snapToGrid/>
        <w:spacing w:line="520" w:lineRule="exact"/>
        <w:ind w:left="0" w:leftChars="0" w:right="0" w:rightChars="0"/>
        <w:textAlignment w:val="auto"/>
        <w:rPr>
          <w:rFonts w:hint="eastAsia" w:ascii="仿宋_GB2312" w:hAnsi="仿宋_GB2312" w:eastAsia="仿宋_GB2312" w:cs="仿宋_GB2312"/>
          <w:color w:val="auto"/>
          <w:sz w:val="32"/>
          <w:szCs w:val="32"/>
          <w:highlight w:val="none"/>
          <w:lang w:val="en-US" w:eastAsia="zh-CN"/>
        </w:rPr>
      </w:pPr>
      <w:r>
        <w:rPr>
          <w:rFonts w:hint="eastAsia"/>
          <w:highlight w:val="none"/>
          <w:lang w:val="en-US" w:eastAsia="zh-CN"/>
        </w:rPr>
        <w:t xml:space="preserve">    </w:t>
      </w:r>
      <w:r>
        <w:rPr>
          <w:rFonts w:hint="eastAsia" w:ascii="仿宋_GB2312"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en-US" w:eastAsia="zh-CN"/>
        </w:rPr>
        <w:t>产出质量分析（得分</w:t>
      </w:r>
      <w:r>
        <w:rPr>
          <w:rFonts w:hint="eastAsia" w:ascii="仿宋_GB2312" w:hAnsi="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val="en-US" w:eastAsia="zh-CN"/>
        </w:rPr>
        <w:t>分）</w:t>
      </w:r>
    </w:p>
    <w:p w14:paraId="2DA6B8F0">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质量指标：指标1：</w:t>
      </w:r>
      <w:r>
        <w:rPr>
          <w:rFonts w:hint="eastAsia" w:ascii="仿宋_GB2312" w:hAnsi="仿宋_GB2312" w:cs="仿宋_GB2312"/>
          <w:color w:val="auto"/>
          <w:sz w:val="32"/>
          <w:szCs w:val="32"/>
          <w:highlight w:val="none"/>
          <w:lang w:val="en-US" w:eastAsia="zh-CN"/>
        </w:rPr>
        <w:t>购买购买运动队专项器材验收合格率，指标值：&gt;=95%，指标完成率100%。</w:t>
      </w:r>
    </w:p>
    <w:p w14:paraId="6A2951B6">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指标2：外聘人员合格率，指标值：&gt;=95%，指标完成率100%。</w:t>
      </w:r>
    </w:p>
    <w:p w14:paraId="6BB9C3BE">
      <w:pPr>
        <w:pStyle w:val="2"/>
        <w:keepLines w:val="0"/>
        <w:pageBreakBefore w:val="0"/>
        <w:kinsoku/>
        <w:wordWrap/>
        <w:overflowPunct/>
        <w:topLinePunct w:val="0"/>
        <w:autoSpaceDE/>
        <w:autoSpaceDN/>
        <w:bidi w:val="0"/>
        <w:adjustRightInd/>
        <w:snapToGrid/>
        <w:spacing w:before="0" w:after="0" w:line="520" w:lineRule="exact"/>
        <w:ind w:left="0" w:leftChars="0" w:right="0" w:rightChars="0"/>
        <w:textAlignment w:val="auto"/>
        <w:rPr>
          <w:rFonts w:hint="eastAsia" w:ascii="仿宋_GB2312" w:hAnsi="仿宋_GB2312" w:cs="仿宋_GB2312"/>
          <w:b w:val="0"/>
          <w:bCs w:val="0"/>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 xml:space="preserve">  </w:t>
      </w:r>
      <w:r>
        <w:rPr>
          <w:rFonts w:hint="eastAsia" w:ascii="仿宋_GB2312" w:hAnsi="仿宋_GB2312" w:cs="仿宋_GB2312"/>
          <w:b w:val="0"/>
          <w:bCs w:val="0"/>
          <w:color w:val="auto"/>
          <w:sz w:val="32"/>
          <w:szCs w:val="32"/>
          <w:highlight w:val="none"/>
          <w:lang w:val="en-US" w:eastAsia="zh-CN"/>
        </w:rPr>
        <w:t xml:space="preserve">  3、产出时效分析（得分5分）</w:t>
      </w:r>
    </w:p>
    <w:p w14:paraId="1B6A7309">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left"/>
        <w:textAlignment w:val="auto"/>
        <w:rPr>
          <w:rFonts w:hint="eastAsia" w:ascii="仿宋_GB2312" w:hAnsi="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 xml:space="preserve">    时效指标：指标1：运动队按时参赛率，指标值：=100%，指标完成率100%。</w:t>
      </w:r>
    </w:p>
    <w:p w14:paraId="3FB08A75">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3" w:firstLineChars="200"/>
        <w:textAlignment w:val="auto"/>
        <w:outlineLvl w:val="0"/>
        <w:rPr>
          <w:rFonts w:hint="eastAsia" w:ascii="仿宋" w:hAnsi="仿宋" w:eastAsia="仿宋" w:cs="仿宋"/>
          <w:b/>
          <w:bCs/>
          <w:sz w:val="32"/>
          <w:szCs w:val="32"/>
          <w:highlight w:val="none"/>
          <w:lang w:val="zh-TW" w:eastAsia="zh-TW"/>
        </w:rPr>
      </w:pPr>
      <w:r>
        <w:rPr>
          <w:rFonts w:hint="eastAsia" w:ascii="仿宋" w:hAnsi="仿宋" w:eastAsia="仿宋" w:cs="仿宋"/>
          <w:b/>
          <w:bCs/>
          <w:sz w:val="32"/>
          <w:szCs w:val="32"/>
          <w:highlight w:val="none"/>
          <w:lang w:val="zh-TW" w:eastAsia="zh-TW"/>
        </w:rPr>
        <w:t>（</w:t>
      </w:r>
      <w:r>
        <w:rPr>
          <w:rFonts w:hint="eastAsia" w:ascii="仿宋" w:hAnsi="仿宋" w:eastAsia="仿宋" w:cs="仿宋"/>
          <w:b/>
          <w:bCs/>
          <w:sz w:val="32"/>
          <w:szCs w:val="32"/>
          <w:highlight w:val="none"/>
          <w:lang w:val="en-US" w:eastAsia="zh-CN"/>
        </w:rPr>
        <w:t>四</w:t>
      </w:r>
      <w:r>
        <w:rPr>
          <w:rFonts w:hint="eastAsia" w:ascii="仿宋" w:hAnsi="仿宋" w:eastAsia="仿宋" w:cs="仿宋"/>
          <w:b/>
          <w:bCs/>
          <w:sz w:val="32"/>
          <w:szCs w:val="32"/>
          <w:highlight w:val="none"/>
          <w:lang w:val="zh-TW" w:eastAsia="zh-TW"/>
        </w:rPr>
        <w:t>）</w:t>
      </w:r>
      <w:r>
        <w:rPr>
          <w:rFonts w:hint="eastAsia" w:ascii="仿宋" w:hAnsi="仿宋" w:eastAsia="仿宋" w:cs="仿宋"/>
          <w:b/>
          <w:bCs/>
          <w:sz w:val="32"/>
          <w:szCs w:val="32"/>
          <w:highlight w:val="none"/>
          <w:lang w:val="en-US" w:eastAsia="zh-CN"/>
        </w:rPr>
        <w:t>成本</w:t>
      </w:r>
      <w:r>
        <w:rPr>
          <w:rFonts w:hint="eastAsia" w:ascii="仿宋" w:hAnsi="仿宋" w:eastAsia="仿宋" w:cs="仿宋"/>
          <w:b/>
          <w:bCs/>
          <w:sz w:val="32"/>
          <w:szCs w:val="32"/>
          <w:highlight w:val="none"/>
          <w:lang w:val="zh-TW" w:eastAsia="zh-TW"/>
        </w:rPr>
        <w:t>情况分析</w:t>
      </w:r>
    </w:p>
    <w:p w14:paraId="644B9EA2">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zh-TW" w:eastAsia="zh-CN"/>
        </w:rPr>
      </w:pPr>
      <w:r>
        <w:rPr>
          <w:rFonts w:hint="eastAsia" w:ascii="仿宋_GB2312" w:hAnsi="仿宋_GB2312" w:eastAsia="仿宋_GB2312" w:cs="仿宋_GB2312"/>
          <w:color w:val="auto"/>
          <w:sz w:val="32"/>
          <w:szCs w:val="32"/>
          <w:highlight w:val="none"/>
          <w:lang w:val="zh-TW" w:eastAsia="zh-CN"/>
        </w:rPr>
        <w:t>经济成本指标：</w:t>
      </w:r>
      <w:r>
        <w:rPr>
          <w:rFonts w:hint="eastAsia" w:ascii="仿宋_GB2312" w:hAnsi="仿宋_GB2312" w:eastAsia="仿宋_GB2312" w:cs="仿宋_GB2312"/>
          <w:color w:val="auto"/>
          <w:sz w:val="32"/>
          <w:szCs w:val="32"/>
          <w:highlight w:val="none"/>
          <w:lang w:val="en-US" w:eastAsia="zh-CN"/>
        </w:rPr>
        <w:t>无此项指标。</w:t>
      </w:r>
    </w:p>
    <w:p w14:paraId="2EBF589A">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社会成本指标：无此项指标。</w:t>
      </w:r>
    </w:p>
    <w:p w14:paraId="71894C58">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生态环境成本指标：无此项指标。</w:t>
      </w:r>
    </w:p>
    <w:p w14:paraId="6D2A9929">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3" w:firstLineChars="200"/>
        <w:textAlignment w:val="auto"/>
        <w:outlineLvl w:val="0"/>
        <w:rPr>
          <w:rFonts w:hint="eastAsia" w:ascii="仿宋" w:hAnsi="仿宋" w:eastAsia="仿宋" w:cs="仿宋"/>
          <w:b/>
          <w:bCs/>
          <w:sz w:val="32"/>
          <w:szCs w:val="32"/>
          <w:highlight w:val="none"/>
          <w:lang w:val="zh-TW" w:eastAsia="zh-CN"/>
        </w:rPr>
      </w:pPr>
      <w:r>
        <w:rPr>
          <w:rFonts w:hint="eastAsia" w:ascii="仿宋" w:hAnsi="仿宋" w:eastAsia="仿宋" w:cs="仿宋"/>
          <w:b/>
          <w:bCs/>
          <w:sz w:val="32"/>
          <w:szCs w:val="32"/>
          <w:highlight w:val="none"/>
          <w:lang w:val="zh-TW" w:eastAsia="zh-CN"/>
        </w:rPr>
        <w:t>（</w:t>
      </w:r>
      <w:r>
        <w:rPr>
          <w:rFonts w:hint="eastAsia" w:ascii="仿宋" w:hAnsi="仿宋" w:eastAsia="仿宋" w:cs="仿宋"/>
          <w:b/>
          <w:bCs/>
          <w:sz w:val="32"/>
          <w:szCs w:val="32"/>
          <w:highlight w:val="none"/>
          <w:lang w:val="en-US" w:eastAsia="zh-CN"/>
        </w:rPr>
        <w:t>五）</w:t>
      </w:r>
      <w:r>
        <w:rPr>
          <w:rFonts w:hint="eastAsia" w:ascii="仿宋" w:hAnsi="仿宋" w:eastAsia="仿宋" w:cs="仿宋"/>
          <w:b/>
          <w:bCs/>
          <w:sz w:val="32"/>
          <w:szCs w:val="32"/>
          <w:highlight w:val="none"/>
          <w:lang w:val="zh-TW" w:eastAsia="zh-CN"/>
        </w:rPr>
        <w:t>项目效益情况</w:t>
      </w:r>
    </w:p>
    <w:p w14:paraId="2DF903E3">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cs="仿宋_GB2312"/>
          <w:color w:val="auto"/>
          <w:sz w:val="32"/>
          <w:szCs w:val="32"/>
          <w:highlight w:val="none"/>
          <w:lang w:val="en-US" w:eastAsia="zh-CN"/>
        </w:rPr>
        <w:t>效益</w:t>
      </w:r>
      <w:r>
        <w:rPr>
          <w:rFonts w:hint="eastAsia" w:ascii="仿宋_GB2312" w:hAnsi="仿宋_GB2312" w:eastAsia="仿宋_GB2312" w:cs="仿宋_GB2312"/>
          <w:color w:val="auto"/>
          <w:sz w:val="32"/>
          <w:szCs w:val="32"/>
          <w:highlight w:val="none"/>
          <w:lang w:val="en-US" w:eastAsia="zh-CN"/>
        </w:rPr>
        <w:t>包括</w:t>
      </w:r>
      <w:r>
        <w:rPr>
          <w:rFonts w:hint="eastAsia" w:ascii="仿宋_GB2312" w:hAnsi="仿宋_GB2312" w:cs="仿宋_GB2312"/>
          <w:color w:val="auto"/>
          <w:sz w:val="32"/>
          <w:szCs w:val="32"/>
          <w:highlight w:val="none"/>
          <w:lang w:val="en-US" w:eastAsia="zh-CN"/>
        </w:rPr>
        <w:t>社会效益指标和满意度2个二级指标。</w:t>
      </w:r>
      <w:r>
        <w:rPr>
          <w:rFonts w:hint="eastAsia" w:ascii="仿宋_GB2312" w:hAnsi="仿宋_GB2312" w:eastAsia="仿宋_GB2312" w:cs="仿宋_GB2312"/>
          <w:color w:val="auto"/>
          <w:sz w:val="32"/>
          <w:szCs w:val="32"/>
          <w:highlight w:val="none"/>
          <w:lang w:val="en-US" w:eastAsia="zh-CN"/>
        </w:rPr>
        <w:t>该项满分为30 分，得分</w:t>
      </w:r>
      <w:r>
        <w:rPr>
          <w:rFonts w:hint="eastAsia" w:ascii="仿宋_GB2312" w:hAnsi="仿宋_GB2312" w:cs="仿宋_GB2312"/>
          <w:color w:val="auto"/>
          <w:sz w:val="32"/>
          <w:szCs w:val="32"/>
          <w:highlight w:val="none"/>
          <w:lang w:val="en-US" w:eastAsia="zh-CN"/>
        </w:rPr>
        <w:t>30</w:t>
      </w:r>
      <w:r>
        <w:rPr>
          <w:rFonts w:hint="eastAsia" w:ascii="仿宋_GB2312" w:hAnsi="仿宋_GB2312" w:eastAsia="仿宋_GB2312" w:cs="仿宋_GB2312"/>
          <w:color w:val="auto"/>
          <w:sz w:val="32"/>
          <w:szCs w:val="32"/>
          <w:highlight w:val="none"/>
          <w:lang w:val="en-US" w:eastAsia="zh-CN"/>
        </w:rPr>
        <w:t>分，得分率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　</w:t>
      </w:r>
      <w:r>
        <w:rPr>
          <w:rFonts w:hint="eastAsia" w:ascii="仿宋_GB2312" w:hAnsi="仿宋_GB2312" w:eastAsia="仿宋_GB2312" w:cs="仿宋_GB2312"/>
          <w:color w:val="auto"/>
          <w:sz w:val="32"/>
          <w:szCs w:val="32"/>
          <w:highlight w:val="none"/>
          <w:lang w:val="en-US" w:eastAsia="zh-CN"/>
        </w:rPr>
        <w:tab/>
      </w:r>
    </w:p>
    <w:p w14:paraId="3ED97A67">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实施效益（得分</w:t>
      </w:r>
      <w:r>
        <w:rPr>
          <w:rFonts w:hint="eastAsia" w:ascii="仿宋_GB2312" w:hAnsi="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val="en-US" w:eastAsia="zh-CN"/>
        </w:rPr>
        <w:t>分）</w:t>
      </w:r>
    </w:p>
    <w:p w14:paraId="2E56DD1C">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highlight w:val="none"/>
          <w:lang w:eastAsia="zh-CN"/>
        </w:rPr>
      </w:pPr>
      <w:r>
        <w:rPr>
          <w:rFonts w:hint="eastAsia" w:ascii="仿宋_GB2312" w:hAnsi="仿宋_GB2312" w:eastAsia="仿宋_GB2312" w:cs="仿宋_GB2312"/>
          <w:color w:val="auto"/>
          <w:sz w:val="32"/>
          <w:szCs w:val="32"/>
          <w:highlight w:val="none"/>
          <w:lang w:val="en-US" w:eastAsia="zh-CN"/>
        </w:rPr>
        <w:t>经济效益指标：无此项指标。</w:t>
      </w:r>
    </w:p>
    <w:p w14:paraId="75D8D940">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社会效益指标：</w:t>
      </w:r>
      <w:r>
        <w:rPr>
          <w:rFonts w:hint="eastAsia" w:ascii="仿宋_GB2312" w:hAnsi="仿宋_GB2312" w:cs="仿宋_GB2312"/>
          <w:color w:val="auto"/>
          <w:sz w:val="32"/>
          <w:szCs w:val="32"/>
          <w:highlight w:val="none"/>
          <w:lang w:val="en-US" w:eastAsia="zh-CN"/>
        </w:rPr>
        <w:t>指标1：取得奖牌数量，指标值：&gt;=100个，实际完成值101个，指标完成率100%。</w:t>
      </w:r>
    </w:p>
    <w:p w14:paraId="6365CC04">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指标2：全运会取得名次数量，指标值：&gt;=6个，实际完成值9个，指标完成率100%。</w:t>
      </w:r>
    </w:p>
    <w:p w14:paraId="118CD6AE">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生态效益指标：无此项指标。</w:t>
      </w:r>
    </w:p>
    <w:p w14:paraId="50F76D0E">
      <w:pPr>
        <w:pStyle w:val="5"/>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可持续影响指标：无此项指标</w:t>
      </w:r>
      <w:r>
        <w:rPr>
          <w:rFonts w:hint="eastAsia" w:ascii="仿宋_GB2312" w:hAnsi="仿宋_GB2312" w:cs="仿宋_GB2312"/>
          <w:color w:val="auto"/>
          <w:sz w:val="32"/>
          <w:szCs w:val="32"/>
          <w:highlight w:val="none"/>
          <w:lang w:val="en-US" w:eastAsia="zh-CN"/>
        </w:rPr>
        <w:t>。</w:t>
      </w:r>
    </w:p>
    <w:p w14:paraId="069F7FB0">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2、满意度（得分</w:t>
      </w:r>
      <w:r>
        <w:rPr>
          <w:rFonts w:hint="eastAsia" w:ascii="仿宋_GB2312" w:hAnsi="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lang w:val="en-US" w:eastAsia="zh-CN"/>
        </w:rPr>
        <w:t>分）</w:t>
      </w:r>
    </w:p>
    <w:p w14:paraId="4EB2DFA0">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满意度指标：指标：</w:t>
      </w:r>
      <w:r>
        <w:rPr>
          <w:rFonts w:hint="eastAsia" w:ascii="仿宋_GB2312" w:hAnsi="仿宋_GB2312" w:cs="仿宋_GB2312"/>
          <w:color w:val="auto"/>
          <w:sz w:val="32"/>
          <w:szCs w:val="32"/>
          <w:highlight w:val="none"/>
          <w:lang w:val="en-US" w:eastAsia="zh-CN"/>
        </w:rPr>
        <w:t>运动员满意度</w:t>
      </w:r>
      <w:r>
        <w:rPr>
          <w:rFonts w:hint="eastAsia" w:ascii="仿宋_GB2312" w:hAnsi="仿宋_GB2312" w:eastAsia="仿宋_GB2312" w:cs="仿宋_GB2312"/>
          <w:color w:val="auto"/>
          <w:sz w:val="32"/>
          <w:szCs w:val="32"/>
          <w:highlight w:val="none"/>
          <w:lang w:val="en-US" w:eastAsia="zh-CN"/>
        </w:rPr>
        <w:t>，指标值：</w:t>
      </w:r>
      <w:r>
        <w:rPr>
          <w:rFonts w:hint="eastAsia" w:ascii="仿宋_GB2312" w:hAnsi="仿宋_GB2312" w:cs="仿宋_GB2312"/>
          <w:color w:val="auto"/>
          <w:sz w:val="32"/>
          <w:szCs w:val="32"/>
          <w:highlight w:val="none"/>
          <w:lang w:val="en-US" w:eastAsia="zh-CN"/>
        </w:rPr>
        <w:t>＞=90</w:t>
      </w:r>
      <w:r>
        <w:rPr>
          <w:rFonts w:hint="eastAsia" w:ascii="仿宋_GB2312" w:hAnsi="仿宋_GB2312" w:eastAsia="仿宋_GB2312" w:cs="仿宋_GB2312"/>
          <w:color w:val="auto"/>
          <w:sz w:val="32"/>
          <w:szCs w:val="32"/>
          <w:highlight w:val="none"/>
          <w:lang w:val="en-US" w:eastAsia="zh-CN"/>
        </w:rPr>
        <w:t>%，实际完成值</w:t>
      </w:r>
      <w:r>
        <w:rPr>
          <w:rFonts w:hint="eastAsia" w:ascii="仿宋_GB2312" w:hAnsi="仿宋_GB2312" w:cs="仿宋_GB2312"/>
          <w:color w:val="auto"/>
          <w:sz w:val="32"/>
          <w:szCs w:val="32"/>
          <w:highlight w:val="none"/>
          <w:lang w:val="en-US" w:eastAsia="zh-CN"/>
        </w:rPr>
        <w:t>90</w:t>
      </w:r>
      <w:r>
        <w:rPr>
          <w:rFonts w:hint="eastAsia" w:ascii="仿宋_GB2312" w:hAnsi="仿宋_GB2312" w:eastAsia="仿宋_GB2312" w:cs="仿宋_GB2312"/>
          <w:color w:val="auto"/>
          <w:sz w:val="32"/>
          <w:szCs w:val="32"/>
          <w:highlight w:val="none"/>
          <w:lang w:val="en-US" w:eastAsia="zh-CN"/>
        </w:rPr>
        <w:t>%，指标完成率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w:t>
      </w:r>
    </w:p>
    <w:p w14:paraId="79525AB7">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00" w:firstLineChars="200"/>
        <w:textAlignment w:val="auto"/>
        <w:rPr>
          <w:rFonts w:hint="eastAsia" w:ascii="黑体" w:hAnsi="黑体" w:eastAsia="黑体"/>
          <w:highlight w:val="none"/>
        </w:rPr>
      </w:pPr>
      <w:r>
        <w:rPr>
          <w:rFonts w:hint="eastAsia" w:ascii="黑体" w:hAnsi="黑体" w:eastAsia="黑体"/>
          <w:highlight w:val="none"/>
          <w:lang w:val="en-US" w:eastAsia="zh-CN"/>
        </w:rPr>
        <w:t>五、</w:t>
      </w:r>
      <w:r>
        <w:rPr>
          <w:rFonts w:hint="eastAsia" w:ascii="黑体" w:hAnsi="黑体" w:eastAsia="黑体"/>
          <w:highlight w:val="none"/>
        </w:rPr>
        <w:t>主要经验及做法、存在的问题及原因分析</w:t>
      </w:r>
    </w:p>
    <w:p w14:paraId="2FFF3011">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0"/>
        <w:rPr>
          <w:rFonts w:hint="eastAsia" w:ascii="楷体" w:hAnsi="楷体" w:eastAsia="楷体" w:cs="楷体"/>
          <w:b w:val="0"/>
          <w:bCs w:val="0"/>
          <w:color w:val="auto"/>
          <w:sz w:val="32"/>
          <w:szCs w:val="32"/>
          <w:highlight w:val="none"/>
          <w:lang w:val="en-US" w:eastAsia="zh-CN"/>
        </w:rPr>
      </w:pPr>
      <w:r>
        <w:rPr>
          <w:rFonts w:hint="eastAsia" w:ascii="楷体" w:hAnsi="楷体" w:eastAsia="楷体" w:cs="楷体"/>
          <w:b w:val="0"/>
          <w:bCs w:val="0"/>
          <w:color w:val="auto"/>
          <w:sz w:val="32"/>
          <w:szCs w:val="32"/>
          <w:highlight w:val="none"/>
          <w:lang w:val="en-US" w:eastAsia="zh-CN"/>
        </w:rPr>
        <w:t>1、主要经验及做法</w:t>
      </w:r>
    </w:p>
    <w:p w14:paraId="30016FDA">
      <w:pPr>
        <w:keepNext w:val="0"/>
        <w:keepLines w:val="0"/>
        <w:pageBreakBefore w:val="0"/>
        <w:kinsoku/>
        <w:wordWrap/>
        <w:overflowPunct/>
        <w:topLinePunct w:val="0"/>
        <w:autoSpaceDE/>
        <w:autoSpaceDN/>
        <w:bidi w:val="0"/>
        <w:adjustRightInd/>
        <w:snapToGrid/>
        <w:spacing w:beforeAutospacing="0" w:afterAutospacing="0" w:line="520" w:lineRule="exact"/>
        <w:ind w:left="0" w:leftChars="0" w:right="0" w:rightChars="0" w:firstLine="640" w:firstLineChars="200"/>
        <w:jc w:val="both"/>
        <w:textAlignment w:val="auto"/>
        <w:rPr>
          <w:rFonts w:hint="eastAsia" w:ascii="仿宋_GB2312" w:hAnsi="仿宋_GB2312" w:eastAsia="仿宋_GB2312" w:cs="仿宋_GB2312"/>
          <w:b w:val="0"/>
          <w:color w:val="auto"/>
          <w:spacing w:val="0"/>
          <w:sz w:val="32"/>
          <w:lang w:eastAsia="zh-CN"/>
        </w:rPr>
      </w:pPr>
      <w:r>
        <w:rPr>
          <w:rFonts w:hint="eastAsia" w:ascii="楷体" w:hAnsi="楷体" w:eastAsia="楷体" w:cs="楷体"/>
          <w:b w:val="0"/>
          <w:bCs w:val="0"/>
          <w:color w:val="auto"/>
          <w:sz w:val="32"/>
          <w:szCs w:val="32"/>
          <w:lang w:val="en-US" w:eastAsia="zh-CN"/>
        </w:rPr>
        <w:t>我单位</w:t>
      </w:r>
      <w:r>
        <w:rPr>
          <w:rFonts w:hint="default" w:ascii="仿宋_GB2312" w:hAnsi="仿宋_GB2312" w:eastAsia="仿宋_GB2312" w:cs="仿宋_GB2312"/>
          <w:b w:val="0"/>
          <w:bCs w:val="0"/>
          <w:color w:val="auto"/>
          <w:sz w:val="32"/>
          <w:szCs w:val="32"/>
          <w:lang w:val="en-US" w:eastAsia="zh-CN"/>
        </w:rPr>
        <w:t>牢牢把握体育工作的时代使命，坚持竞技成绩与人才培养并重，全面提升核心竞争力。</w:t>
      </w:r>
      <w:r>
        <w:rPr>
          <w:rFonts w:hint="eastAsia" w:ascii="仿宋_GB2312" w:hAnsi="仿宋_GB2312" w:eastAsia="仿宋_GB2312" w:cs="仿宋_GB2312"/>
          <w:b/>
          <w:bCs/>
          <w:color w:val="auto"/>
          <w:sz w:val="32"/>
          <w:szCs w:val="32"/>
          <w:lang w:val="en-US" w:eastAsia="zh-CN"/>
        </w:rPr>
        <w:t>一是</w:t>
      </w:r>
      <w:r>
        <w:rPr>
          <w:rFonts w:hint="default" w:ascii="仿宋_GB2312" w:hAnsi="仿宋_GB2312" w:eastAsia="仿宋_GB2312" w:cs="仿宋_GB2312"/>
          <w:b w:val="0"/>
          <w:bCs w:val="0"/>
          <w:color w:val="auto"/>
          <w:sz w:val="32"/>
          <w:szCs w:val="32"/>
          <w:lang w:val="en-US" w:eastAsia="zh-CN"/>
        </w:rPr>
        <w:t>赛场奋勇争先，实现历史性突破</w:t>
      </w:r>
      <w:r>
        <w:rPr>
          <w:rFonts w:hint="eastAsia" w:ascii="仿宋_GB2312" w:hAnsi="仿宋_GB2312" w:eastAsia="仿宋_GB2312" w:cs="仿宋_GB2312"/>
          <w:b w:val="0"/>
          <w:bCs w:val="0"/>
          <w:color w:val="auto"/>
          <w:sz w:val="32"/>
          <w:szCs w:val="32"/>
          <w:lang w:val="en-US" w:eastAsia="zh-CN"/>
        </w:rPr>
        <w:t>。</w:t>
      </w:r>
      <w:r>
        <w:rPr>
          <w:rFonts w:hint="default" w:ascii="仿宋_GB2312" w:hAnsi="仿宋_GB2312" w:eastAsia="仿宋_GB2312" w:cs="仿宋_GB2312"/>
          <w:b w:val="0"/>
          <w:bCs w:val="0"/>
          <w:color w:val="auto"/>
          <w:sz w:val="32"/>
          <w:szCs w:val="32"/>
          <w:lang w:val="en-US" w:eastAsia="zh-CN"/>
        </w:rPr>
        <w:t>在第十五届全国运动会</w:t>
      </w:r>
      <w:r>
        <w:rPr>
          <w:rFonts w:hint="eastAsia" w:ascii="仿宋_GB2312" w:hAnsi="仿宋_GB2312" w:eastAsia="仿宋_GB2312" w:cs="仿宋_GB2312"/>
          <w:b w:val="0"/>
          <w:bCs w:val="0"/>
          <w:color w:val="auto"/>
          <w:sz w:val="32"/>
          <w:szCs w:val="32"/>
          <w:lang w:val="en-US" w:eastAsia="zh-CN"/>
        </w:rPr>
        <w:t>上获得竞技项目</w:t>
      </w:r>
      <w:r>
        <w:rPr>
          <w:rFonts w:hint="eastAsia" w:ascii="仿宋_GB2312" w:hAnsi="仿宋_GB2312" w:eastAsia="仿宋_GB2312" w:cs="仿宋_GB2312"/>
          <w:sz w:val="32"/>
          <w:szCs w:val="32"/>
        </w:rPr>
        <w:t>1金2银</w:t>
      </w:r>
      <w:r>
        <w:rPr>
          <w:rFonts w:hint="eastAsia" w:ascii="仿宋_GB2312" w:hAnsi="仿宋_GB2312" w:eastAsia="仿宋_GB2312" w:cs="仿宋_GB2312"/>
          <w:sz w:val="32"/>
          <w:szCs w:val="32"/>
          <w:lang w:eastAsia="zh-CN"/>
        </w:rPr>
        <w:t>、群众项目</w:t>
      </w:r>
      <w:r>
        <w:rPr>
          <w:rFonts w:hint="eastAsia" w:ascii="仿宋_GB2312" w:hAnsi="仿宋_GB2312" w:eastAsia="仿宋_GB2312" w:cs="仿宋_GB2312"/>
          <w:sz w:val="32"/>
          <w:szCs w:val="32"/>
        </w:rPr>
        <w:t>2铜</w:t>
      </w:r>
      <w:r>
        <w:rPr>
          <w:rFonts w:hint="eastAsia" w:ascii="仿宋_GB2312" w:hAnsi="仿宋_GB2312" w:eastAsia="仿宋_GB2312" w:cs="仿宋_GB2312"/>
          <w:sz w:val="32"/>
          <w:szCs w:val="32"/>
          <w:lang w:eastAsia="zh-CN"/>
        </w:rPr>
        <w:t>的优异成绩，圆满完成局党组交办的任务。</w:t>
      </w:r>
      <w:r>
        <w:rPr>
          <w:rFonts w:hint="default" w:ascii="仿宋_GB2312" w:hAnsi="仿宋_GB2312" w:eastAsia="仿宋_GB2312" w:cs="仿宋_GB2312"/>
          <w:b w:val="0"/>
          <w:bCs w:val="0"/>
          <w:color w:val="auto"/>
          <w:sz w:val="32"/>
          <w:szCs w:val="32"/>
          <w:lang w:val="en-US" w:eastAsia="zh-CN"/>
        </w:rPr>
        <w:t>马术队刘涛勇夺盛装舞步个人冠军</w:t>
      </w:r>
      <w:r>
        <w:rPr>
          <w:rFonts w:hint="eastAsia" w:ascii="仿宋_GB2312" w:hAnsi="仿宋_GB2312" w:eastAsia="仿宋_GB2312" w:cs="仿宋_GB2312"/>
          <w:b w:val="0"/>
          <w:bCs w:val="0"/>
          <w:color w:val="auto"/>
          <w:sz w:val="32"/>
          <w:szCs w:val="32"/>
          <w:lang w:val="en-US" w:eastAsia="zh-CN"/>
        </w:rPr>
        <w:t>，并与刘忠、兰超、张红钊获得团体银牌</w:t>
      </w:r>
      <w:r>
        <w:rPr>
          <w:rFonts w:hint="default" w:ascii="仿宋_GB2312" w:hAnsi="仿宋_GB2312" w:eastAsia="仿宋_GB2312" w:cs="仿宋_GB2312"/>
          <w:b w:val="0"/>
          <w:bCs w:val="0"/>
          <w:color w:val="auto"/>
          <w:sz w:val="32"/>
          <w:szCs w:val="32"/>
          <w:lang w:val="en-US" w:eastAsia="zh-CN"/>
        </w:rPr>
        <w:t>，新疆马术项目时隔12年</w:t>
      </w:r>
      <w:r>
        <w:rPr>
          <w:rFonts w:hint="eastAsia" w:ascii="仿宋_GB2312" w:hAnsi="仿宋_GB2312" w:eastAsia="仿宋_GB2312" w:cs="仿宋_GB2312"/>
          <w:b w:val="0"/>
          <w:bCs w:val="0"/>
          <w:color w:val="auto"/>
          <w:sz w:val="32"/>
          <w:szCs w:val="32"/>
          <w:lang w:val="en-US" w:eastAsia="zh-CN"/>
        </w:rPr>
        <w:t>再次登上全运会最高领奖台</w:t>
      </w:r>
      <w:r>
        <w:rPr>
          <w:rFonts w:hint="default" w:ascii="仿宋_GB2312" w:hAnsi="仿宋_GB2312" w:eastAsia="仿宋_GB2312" w:cs="仿宋_GB2312"/>
          <w:b w:val="0"/>
          <w:bCs w:val="0"/>
          <w:color w:val="auto"/>
          <w:sz w:val="32"/>
          <w:szCs w:val="32"/>
          <w:lang w:val="en-US" w:eastAsia="zh-CN"/>
        </w:rPr>
        <w:t>；射击队陈佳获女子25米手枪银牌，创该项目</w:t>
      </w:r>
      <w:r>
        <w:rPr>
          <w:rFonts w:hint="eastAsia" w:ascii="仿宋_GB2312" w:hAnsi="仿宋_GB2312" w:eastAsia="仿宋_GB2312" w:cs="仿宋_GB2312"/>
          <w:b w:val="0"/>
          <w:bCs w:val="0"/>
          <w:color w:val="auto"/>
          <w:sz w:val="32"/>
          <w:szCs w:val="32"/>
          <w:lang w:val="en-US" w:eastAsia="zh-CN"/>
        </w:rPr>
        <w:t>新疆</w:t>
      </w:r>
      <w:r>
        <w:rPr>
          <w:rFonts w:hint="default" w:ascii="仿宋_GB2312" w:hAnsi="仿宋_GB2312" w:eastAsia="仿宋_GB2312" w:cs="仿宋_GB2312"/>
          <w:b w:val="0"/>
          <w:bCs w:val="0"/>
          <w:color w:val="auto"/>
          <w:sz w:val="32"/>
          <w:szCs w:val="32"/>
          <w:lang w:val="en-US" w:eastAsia="zh-CN"/>
        </w:rPr>
        <w:t>历史最佳战绩；自行车队张博华获竞速小轮车第四名，</w:t>
      </w:r>
      <w:r>
        <w:rPr>
          <w:rFonts w:hint="eastAsia" w:ascii="仿宋_GB2312" w:hAnsi="仿宋_GB2312" w:eastAsia="仿宋_GB2312" w:cs="仿宋_GB2312"/>
          <w:b w:val="0"/>
          <w:bCs w:val="0"/>
          <w:color w:val="auto"/>
          <w:sz w:val="32"/>
          <w:szCs w:val="32"/>
          <w:lang w:val="en-US" w:eastAsia="zh-CN"/>
        </w:rPr>
        <w:t>追平</w:t>
      </w:r>
      <w:r>
        <w:rPr>
          <w:rFonts w:hint="default" w:ascii="仿宋_GB2312" w:hAnsi="仿宋_GB2312" w:eastAsia="仿宋_GB2312" w:cs="仿宋_GB2312"/>
          <w:b w:val="0"/>
          <w:bCs w:val="0"/>
          <w:color w:val="auto"/>
          <w:sz w:val="32"/>
          <w:szCs w:val="32"/>
          <w:lang w:val="en-US" w:eastAsia="zh-CN"/>
        </w:rPr>
        <w:t>新疆</w:t>
      </w:r>
      <w:r>
        <w:rPr>
          <w:rFonts w:hint="eastAsia" w:ascii="仿宋_GB2312" w:hAnsi="仿宋_GB2312" w:eastAsia="仿宋_GB2312" w:cs="仿宋_GB2312"/>
          <w:b w:val="0"/>
          <w:bCs w:val="0"/>
          <w:color w:val="auto"/>
          <w:sz w:val="32"/>
          <w:szCs w:val="32"/>
          <w:lang w:val="en-US" w:eastAsia="zh-CN"/>
        </w:rPr>
        <w:t>该项目</w:t>
      </w:r>
      <w:r>
        <w:rPr>
          <w:rFonts w:hint="default" w:ascii="仿宋_GB2312" w:hAnsi="仿宋_GB2312" w:eastAsia="仿宋_GB2312" w:cs="仿宋_GB2312"/>
          <w:b w:val="0"/>
          <w:bCs w:val="0"/>
          <w:color w:val="auto"/>
          <w:sz w:val="32"/>
          <w:szCs w:val="32"/>
          <w:lang w:val="en-US" w:eastAsia="zh-CN"/>
        </w:rPr>
        <w:t>纪录；航模队斩获2枚铜牌，填补新增项目空白。国际赛场亦捷报频传：陈佳在射击世锦赛上勇夺25米标准手枪团体冠军并打破世界纪录，成为新疆首位破射击世界纪录的运动员；射箭选手于梦婷在亚洲杯新加坡站勇夺个人冠军并</w:t>
      </w:r>
      <w:r>
        <w:rPr>
          <w:rFonts w:hint="eastAsia" w:ascii="仿宋_GB2312" w:hAnsi="仿宋_GB2312" w:eastAsia="仿宋_GB2312" w:cs="仿宋_GB2312"/>
          <w:b w:val="0"/>
          <w:bCs w:val="0"/>
          <w:color w:val="auto"/>
          <w:sz w:val="32"/>
          <w:szCs w:val="32"/>
          <w:lang w:val="en-US" w:eastAsia="zh-CN"/>
        </w:rPr>
        <w:t>和队友斩获</w:t>
      </w:r>
      <w:r>
        <w:rPr>
          <w:rFonts w:hint="default" w:ascii="仿宋_GB2312" w:hAnsi="仿宋_GB2312" w:eastAsia="仿宋_GB2312" w:cs="仿宋_GB2312"/>
          <w:b w:val="0"/>
          <w:bCs w:val="0"/>
          <w:color w:val="auto"/>
          <w:sz w:val="32"/>
          <w:szCs w:val="32"/>
          <w:lang w:val="en-US" w:eastAsia="zh-CN"/>
        </w:rPr>
        <w:t>团体亚军，实现“成绩与作风双丰收”。</w:t>
      </w:r>
      <w:r>
        <w:rPr>
          <w:rFonts w:hint="default" w:ascii="仿宋_GB2312" w:hAnsi="仿宋_GB2312" w:eastAsia="仿宋_GB2312" w:cs="仿宋_GB2312"/>
          <w:b/>
          <w:bCs/>
          <w:color w:val="auto"/>
          <w:sz w:val="32"/>
          <w:szCs w:val="32"/>
          <w:lang w:val="en-US" w:eastAsia="zh-CN"/>
        </w:rPr>
        <w:t>二</w:t>
      </w:r>
      <w:r>
        <w:rPr>
          <w:rFonts w:hint="eastAsia" w:ascii="仿宋_GB2312" w:hAnsi="仿宋_GB2312" w:eastAsia="仿宋_GB2312" w:cs="仿宋_GB2312"/>
          <w:b/>
          <w:bCs/>
          <w:color w:val="auto"/>
          <w:sz w:val="32"/>
          <w:szCs w:val="32"/>
          <w:lang w:val="en-US" w:eastAsia="zh-CN"/>
        </w:rPr>
        <w:t>是</w:t>
      </w:r>
      <w:r>
        <w:rPr>
          <w:rFonts w:hint="default" w:ascii="仿宋_GB2312" w:hAnsi="仿宋_GB2312" w:eastAsia="仿宋_GB2312" w:cs="仿宋_GB2312"/>
          <w:b w:val="0"/>
          <w:bCs w:val="0"/>
          <w:color w:val="auto"/>
          <w:sz w:val="32"/>
          <w:szCs w:val="32"/>
          <w:lang w:val="en-US" w:eastAsia="zh-CN"/>
        </w:rPr>
        <w:t>完善备战体系，强化支撑保障</w:t>
      </w:r>
      <w:r>
        <w:rPr>
          <w:rFonts w:hint="eastAsia" w:ascii="仿宋_GB2312" w:hAnsi="仿宋_GB2312" w:eastAsia="仿宋_GB2312" w:cs="仿宋_GB2312"/>
          <w:b w:val="0"/>
          <w:bCs w:val="0"/>
          <w:color w:val="auto"/>
          <w:sz w:val="32"/>
          <w:szCs w:val="32"/>
          <w:lang w:val="en-US" w:eastAsia="zh-CN"/>
        </w:rPr>
        <w:t>。</w:t>
      </w:r>
      <w:r>
        <w:rPr>
          <w:rFonts w:hint="default" w:ascii="仿宋_GB2312" w:hAnsi="仿宋_GB2312" w:eastAsia="仿宋_GB2312" w:cs="仿宋_GB2312"/>
          <w:b w:val="0"/>
          <w:bCs w:val="0"/>
          <w:color w:val="auto"/>
          <w:sz w:val="32"/>
          <w:szCs w:val="32"/>
          <w:lang w:val="en-US" w:eastAsia="zh-CN"/>
        </w:rPr>
        <w:t>构建“选材</w:t>
      </w:r>
      <w:r>
        <w:rPr>
          <w:rFonts w:hint="eastAsia" w:ascii="仿宋_GB2312" w:hAnsi="仿宋_GB2312" w:eastAsia="仿宋_GB2312" w:cs="仿宋_GB2312"/>
          <w:b w:val="0"/>
          <w:bCs w:val="0"/>
          <w:color w:val="auto"/>
          <w:sz w:val="32"/>
          <w:szCs w:val="32"/>
          <w:lang w:val="en-US" w:eastAsia="zh-CN"/>
        </w:rPr>
        <w:t>-</w:t>
      </w:r>
      <w:r>
        <w:rPr>
          <w:rFonts w:hint="default" w:ascii="仿宋_GB2312" w:hAnsi="仿宋_GB2312" w:eastAsia="仿宋_GB2312" w:cs="仿宋_GB2312"/>
          <w:b w:val="0"/>
          <w:bCs w:val="0"/>
          <w:color w:val="auto"/>
          <w:sz w:val="32"/>
          <w:szCs w:val="32"/>
          <w:lang w:val="en-US" w:eastAsia="zh-CN"/>
        </w:rPr>
        <w:t>训练</w:t>
      </w:r>
      <w:r>
        <w:rPr>
          <w:rFonts w:hint="eastAsia" w:ascii="仿宋_GB2312" w:hAnsi="仿宋_GB2312" w:eastAsia="仿宋_GB2312" w:cs="仿宋_GB2312"/>
          <w:b w:val="0"/>
          <w:bCs w:val="0"/>
          <w:color w:val="auto"/>
          <w:sz w:val="32"/>
          <w:szCs w:val="32"/>
          <w:lang w:val="en-US" w:eastAsia="zh-CN"/>
        </w:rPr>
        <w:t>-</w:t>
      </w:r>
      <w:r>
        <w:rPr>
          <w:rFonts w:hint="default" w:ascii="仿宋_GB2312" w:hAnsi="仿宋_GB2312" w:eastAsia="仿宋_GB2312" w:cs="仿宋_GB2312"/>
          <w:b w:val="0"/>
          <w:bCs w:val="0"/>
          <w:color w:val="auto"/>
          <w:sz w:val="32"/>
          <w:szCs w:val="32"/>
          <w:lang w:val="en-US" w:eastAsia="zh-CN"/>
        </w:rPr>
        <w:t>保障</w:t>
      </w:r>
      <w:r>
        <w:rPr>
          <w:rFonts w:hint="eastAsia" w:ascii="仿宋_GB2312" w:hAnsi="仿宋_GB2312" w:eastAsia="仿宋_GB2312" w:cs="仿宋_GB2312"/>
          <w:b w:val="0"/>
          <w:bCs w:val="0"/>
          <w:color w:val="auto"/>
          <w:sz w:val="32"/>
          <w:szCs w:val="32"/>
          <w:lang w:val="en-US" w:eastAsia="zh-CN"/>
        </w:rPr>
        <w:t>-</w:t>
      </w:r>
      <w:r>
        <w:rPr>
          <w:rFonts w:hint="default" w:ascii="仿宋_GB2312" w:hAnsi="仿宋_GB2312" w:eastAsia="仿宋_GB2312" w:cs="仿宋_GB2312"/>
          <w:b w:val="0"/>
          <w:bCs w:val="0"/>
          <w:color w:val="auto"/>
          <w:sz w:val="32"/>
          <w:szCs w:val="32"/>
          <w:lang w:val="en-US" w:eastAsia="zh-CN"/>
        </w:rPr>
        <w:t>参赛”全链条备战机制，依托“选星计划”训练营挖掘潜力</w:t>
      </w:r>
      <w:r>
        <w:rPr>
          <w:rFonts w:hint="eastAsia" w:ascii="仿宋_GB2312" w:hAnsi="仿宋_GB2312" w:eastAsia="仿宋_GB2312" w:cs="仿宋_GB2312"/>
          <w:b w:val="0"/>
          <w:bCs w:val="0"/>
          <w:color w:val="auto"/>
          <w:sz w:val="32"/>
          <w:szCs w:val="32"/>
          <w:lang w:val="en-US" w:eastAsia="zh-CN"/>
        </w:rPr>
        <w:t>新苗</w:t>
      </w:r>
      <w:r>
        <w:rPr>
          <w:rFonts w:hint="default" w:ascii="仿宋_GB2312" w:hAnsi="仿宋_GB2312" w:eastAsia="仿宋_GB2312" w:cs="仿宋_GB2312"/>
          <w:b w:val="0"/>
          <w:bCs w:val="0"/>
          <w:color w:val="auto"/>
          <w:sz w:val="32"/>
          <w:szCs w:val="32"/>
          <w:lang w:val="en-US" w:eastAsia="zh-CN"/>
        </w:rPr>
        <w:t>，破解人才断层难题。建立反兴奋剂“教育+考核+监管”闭环管理体系，坚决守住“零兴奋剂”底线。加大重点项目投入，保障</w:t>
      </w:r>
      <w:r>
        <w:rPr>
          <w:rFonts w:hint="eastAsia" w:ascii="仿宋_GB2312" w:hAnsi="仿宋_GB2312" w:cs="仿宋_GB2312"/>
          <w:b w:val="0"/>
          <w:bCs w:val="0"/>
          <w:color w:val="auto"/>
          <w:sz w:val="32"/>
          <w:szCs w:val="32"/>
          <w:lang w:val="en-US" w:eastAsia="zh-CN"/>
        </w:rPr>
        <w:t>各运动队尤其是</w:t>
      </w:r>
      <w:r>
        <w:rPr>
          <w:rFonts w:hint="default" w:ascii="仿宋_GB2312" w:hAnsi="仿宋_GB2312" w:eastAsia="仿宋_GB2312" w:cs="仿宋_GB2312"/>
          <w:b w:val="0"/>
          <w:bCs w:val="0"/>
          <w:color w:val="auto"/>
          <w:sz w:val="32"/>
          <w:szCs w:val="32"/>
          <w:lang w:val="en-US" w:eastAsia="zh-CN"/>
        </w:rPr>
        <w:t>外训、外教引进及器材更新需求</w:t>
      </w:r>
      <w:r>
        <w:rPr>
          <w:rFonts w:hint="eastAsia" w:ascii="仿宋_GB2312" w:hAnsi="仿宋_GB2312" w:eastAsia="仿宋_GB2312" w:cs="仿宋_GB2312"/>
          <w:b w:val="0"/>
          <w:bCs w:val="0"/>
          <w:color w:val="auto"/>
          <w:sz w:val="32"/>
          <w:szCs w:val="32"/>
          <w:lang w:val="en-US" w:eastAsia="zh-CN"/>
        </w:rPr>
        <w:t>，</w:t>
      </w:r>
      <w:r>
        <w:rPr>
          <w:rFonts w:hint="eastAsia" w:ascii="仿宋_GB2312" w:hAnsi="仿宋_GB2312" w:eastAsia="仿宋_GB2312" w:cs="仿宋_GB2312"/>
          <w:sz w:val="32"/>
          <w:szCs w:val="32"/>
        </w:rPr>
        <w:t>为备战参赛提供坚实支撑</w:t>
      </w:r>
      <w:r>
        <w:rPr>
          <w:rFonts w:hint="default" w:ascii="仿宋_GB2312" w:hAnsi="仿宋_GB2312" w:eastAsia="仿宋_GB2312" w:cs="仿宋_GB2312"/>
          <w:b w:val="0"/>
          <w:bCs w:val="0"/>
          <w:color w:val="auto"/>
          <w:sz w:val="32"/>
          <w:szCs w:val="32"/>
          <w:lang w:val="en-US" w:eastAsia="zh-CN"/>
        </w:rPr>
        <w:t>。全年在国内赛事中获得第一名27个、第二名22个、第三名11个、四至八名74个；国际赛事斩获第一名5个、第二名2个、四至八名4个，向国家队输送运动员6名、教练员3名。</w:t>
      </w:r>
      <w:r>
        <w:rPr>
          <w:rFonts w:hint="default" w:ascii="仿宋_GB2312" w:hAnsi="仿宋_GB2312" w:eastAsia="仿宋_GB2312" w:cs="仿宋_GB2312"/>
          <w:b/>
          <w:bCs/>
          <w:color w:val="auto"/>
          <w:sz w:val="32"/>
          <w:szCs w:val="32"/>
          <w:lang w:val="en-US" w:eastAsia="zh-CN"/>
        </w:rPr>
        <w:t>三</w:t>
      </w:r>
      <w:r>
        <w:rPr>
          <w:rFonts w:hint="eastAsia" w:ascii="仿宋_GB2312" w:hAnsi="仿宋_GB2312" w:eastAsia="仿宋_GB2312" w:cs="仿宋_GB2312"/>
          <w:b/>
          <w:bCs/>
          <w:color w:val="auto"/>
          <w:sz w:val="32"/>
          <w:szCs w:val="32"/>
          <w:lang w:val="en-US" w:eastAsia="zh-CN"/>
        </w:rPr>
        <w:t>是</w:t>
      </w:r>
      <w:r>
        <w:rPr>
          <w:rFonts w:hint="default" w:ascii="仿宋_GB2312" w:hAnsi="仿宋_GB2312" w:eastAsia="仿宋_GB2312" w:cs="仿宋_GB2312"/>
          <w:b w:val="0"/>
          <w:bCs w:val="0"/>
          <w:color w:val="auto"/>
          <w:sz w:val="32"/>
          <w:szCs w:val="32"/>
          <w:lang w:val="en-US" w:eastAsia="zh-CN"/>
        </w:rPr>
        <w:t>创新发展模式，夯实后备力量</w:t>
      </w:r>
      <w:r>
        <w:rPr>
          <w:rFonts w:hint="eastAsia" w:ascii="仿宋_GB2312" w:hAnsi="仿宋_GB2312" w:eastAsia="仿宋_GB2312" w:cs="仿宋_GB2312"/>
          <w:b w:val="0"/>
          <w:bCs w:val="0"/>
          <w:color w:val="auto"/>
          <w:sz w:val="32"/>
          <w:szCs w:val="32"/>
          <w:lang w:val="en-US" w:eastAsia="zh-CN"/>
        </w:rPr>
        <w:t>。</w:t>
      </w:r>
      <w:r>
        <w:rPr>
          <w:rFonts w:hint="default" w:ascii="仿宋_GB2312" w:hAnsi="仿宋_GB2312" w:eastAsia="仿宋_GB2312" w:cs="仿宋_GB2312"/>
          <w:b w:val="0"/>
          <w:bCs w:val="0"/>
          <w:color w:val="auto"/>
          <w:sz w:val="32"/>
          <w:szCs w:val="32"/>
          <w:lang w:val="en-US" w:eastAsia="zh-CN"/>
        </w:rPr>
        <w:t>聚焦青少年体育发展，协办2025年自治区青少年</w:t>
      </w:r>
      <w:r>
        <w:rPr>
          <w:rFonts w:hint="eastAsia" w:ascii="仿宋_GB2312" w:hAnsi="仿宋_GB2312" w:eastAsia="仿宋_GB2312" w:cs="仿宋_GB2312"/>
          <w:b w:val="0"/>
          <w:bCs w:val="0"/>
          <w:color w:val="auto"/>
          <w:sz w:val="32"/>
          <w:szCs w:val="32"/>
          <w:lang w:val="en-US" w:eastAsia="zh-CN"/>
        </w:rPr>
        <w:t>射击、</w:t>
      </w:r>
      <w:r>
        <w:rPr>
          <w:rFonts w:hint="default" w:ascii="仿宋_GB2312" w:hAnsi="仿宋_GB2312" w:eastAsia="仿宋_GB2312" w:cs="仿宋_GB2312"/>
          <w:b w:val="0"/>
          <w:bCs w:val="0"/>
          <w:color w:val="auto"/>
          <w:sz w:val="32"/>
          <w:szCs w:val="32"/>
          <w:lang w:val="en-US" w:eastAsia="zh-CN"/>
        </w:rPr>
        <w:t>射箭锦标赛</w:t>
      </w:r>
      <w:r>
        <w:rPr>
          <w:rFonts w:hint="eastAsia" w:ascii="仿宋_GB2312" w:hAnsi="仿宋_GB2312" w:eastAsia="仿宋_GB2312" w:cs="仿宋_GB2312"/>
          <w:b w:val="0"/>
          <w:bCs w:val="0"/>
          <w:color w:val="auto"/>
          <w:sz w:val="32"/>
          <w:szCs w:val="32"/>
          <w:lang w:val="en-US" w:eastAsia="zh-CN"/>
        </w:rPr>
        <w:t>及自治区青少年射箭室内锦标赛</w:t>
      </w:r>
      <w:r>
        <w:rPr>
          <w:rFonts w:hint="default" w:ascii="仿宋_GB2312" w:hAnsi="仿宋_GB2312" w:eastAsia="仿宋_GB2312" w:cs="仿宋_GB2312"/>
          <w:b w:val="0"/>
          <w:bCs w:val="0"/>
          <w:color w:val="auto"/>
          <w:sz w:val="32"/>
          <w:szCs w:val="32"/>
          <w:lang w:val="en-US" w:eastAsia="zh-CN"/>
        </w:rPr>
        <w:t>，吸引全疆</w:t>
      </w:r>
      <w:r>
        <w:rPr>
          <w:rFonts w:hint="eastAsia" w:ascii="仿宋_GB2312" w:hAnsi="仿宋_GB2312" w:eastAsia="仿宋_GB2312" w:cs="仿宋_GB2312"/>
          <w:b w:val="0"/>
          <w:bCs w:val="0"/>
          <w:color w:val="auto"/>
          <w:sz w:val="32"/>
          <w:szCs w:val="32"/>
          <w:lang w:val="en-US" w:eastAsia="zh-CN"/>
        </w:rPr>
        <w:t>500余人次青少年运动员</w:t>
      </w:r>
      <w:r>
        <w:rPr>
          <w:rFonts w:hint="default" w:ascii="仿宋_GB2312" w:hAnsi="仿宋_GB2312" w:eastAsia="仿宋_GB2312" w:cs="仿宋_GB2312"/>
          <w:b w:val="0"/>
          <w:bCs w:val="0"/>
          <w:color w:val="auto"/>
          <w:sz w:val="32"/>
          <w:szCs w:val="32"/>
          <w:lang w:val="en-US" w:eastAsia="zh-CN"/>
        </w:rPr>
        <w:t>参赛。通过专业化选拔机制，发现一批具备发展潜力的后备人才，进一步巩固了全区射箭项目的人才基础，为构建科学系统的青训体系注入新动能。</w:t>
      </w:r>
    </w:p>
    <w:p w14:paraId="544924B3">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0"/>
        <w:rPr>
          <w:rFonts w:hint="eastAsia" w:ascii="楷体" w:hAnsi="楷体" w:eastAsia="楷体" w:cs="楷体"/>
          <w:b w:val="0"/>
          <w:bCs w:val="0"/>
          <w:color w:val="auto"/>
          <w:sz w:val="32"/>
          <w:szCs w:val="32"/>
          <w:highlight w:val="none"/>
          <w:lang w:val="en-US" w:eastAsia="zh-CN"/>
        </w:rPr>
      </w:pPr>
      <w:r>
        <w:rPr>
          <w:rFonts w:hint="eastAsia" w:ascii="楷体" w:hAnsi="楷体" w:eastAsia="楷体" w:cs="楷体"/>
          <w:b w:val="0"/>
          <w:bCs w:val="0"/>
          <w:color w:val="auto"/>
          <w:sz w:val="32"/>
          <w:szCs w:val="32"/>
          <w:highlight w:val="none"/>
          <w:lang w:val="en-US" w:eastAsia="zh-CN"/>
        </w:rPr>
        <w:t>2、存在的问题</w:t>
      </w:r>
    </w:p>
    <w:p w14:paraId="6A6B7C6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default" w:ascii="仿宋_GB2312" w:hAnsi="仿宋_GB2312" w:eastAsia="仿宋_GB2312" w:cs="仿宋_GB2312"/>
          <w:color w:val="auto"/>
          <w:kern w:val="2"/>
          <w:sz w:val="32"/>
          <w:szCs w:val="32"/>
          <w:lang w:val="en-US" w:eastAsia="zh-CN" w:bidi="ar-SA"/>
        </w:rPr>
        <w:t>历</w:t>
      </w:r>
      <w:r>
        <w:rPr>
          <w:rFonts w:hint="default" w:ascii="仿宋_GB2312" w:hAnsi="仿宋_GB2312" w:eastAsia="仿宋_GB2312" w:cs="仿宋_GB2312"/>
          <w:kern w:val="2"/>
          <w:sz w:val="32"/>
          <w:szCs w:val="32"/>
          <w:lang w:val="en-US" w:eastAsia="zh-CN" w:bidi="ar-SA"/>
        </w:rPr>
        <w:t>史遗留问题攻坚乏力</w:t>
      </w:r>
      <w:r>
        <w:rPr>
          <w:rFonts w:hint="eastAsia" w:ascii="仿宋_GB2312" w:hAnsi="仿宋_GB2312" w:eastAsia="仿宋_GB2312" w:cs="仿宋_GB2312"/>
          <w:kern w:val="2"/>
          <w:sz w:val="32"/>
          <w:szCs w:val="32"/>
          <w:lang w:val="en-US" w:eastAsia="zh-CN" w:bidi="ar-SA"/>
        </w:rPr>
        <w:t>，</w:t>
      </w:r>
      <w:r>
        <w:rPr>
          <w:rFonts w:hint="default" w:ascii="仿宋_GB2312" w:hAnsi="仿宋_GB2312" w:eastAsia="仿宋_GB2312" w:cs="仿宋_GB2312"/>
          <w:kern w:val="2"/>
          <w:sz w:val="32"/>
          <w:szCs w:val="32"/>
          <w:lang w:val="en-US" w:eastAsia="zh-CN" w:bidi="ar-SA"/>
        </w:rPr>
        <w:t>存在</w:t>
      </w:r>
      <w:r>
        <w:rPr>
          <w:rFonts w:hint="eastAsia" w:ascii="仿宋_GB2312" w:hAnsi="仿宋_GB2312" w:eastAsia="仿宋_GB2312" w:cs="仿宋_GB2312"/>
          <w:kern w:val="2"/>
          <w:sz w:val="32"/>
          <w:szCs w:val="32"/>
          <w:lang w:val="en-US" w:eastAsia="zh-CN" w:bidi="ar-SA"/>
        </w:rPr>
        <w:t>一定</w:t>
      </w:r>
      <w:r>
        <w:rPr>
          <w:rFonts w:hint="default" w:ascii="仿宋_GB2312" w:hAnsi="仿宋_GB2312" w:eastAsia="仿宋_GB2312" w:cs="仿宋_GB2312"/>
          <w:kern w:val="2"/>
          <w:sz w:val="32"/>
          <w:szCs w:val="32"/>
          <w:lang w:val="en-US" w:eastAsia="zh-CN" w:bidi="ar-SA"/>
        </w:rPr>
        <w:t>畏难情绪，未建立与训练成绩、</w:t>
      </w:r>
      <w:r>
        <w:rPr>
          <w:rFonts w:hint="eastAsia" w:ascii="仿宋_GB2312" w:hAnsi="仿宋_GB2312" w:eastAsia="仿宋_GB2312" w:cs="仿宋_GB2312"/>
          <w:kern w:val="2"/>
          <w:sz w:val="32"/>
          <w:szCs w:val="32"/>
          <w:lang w:val="en-US" w:eastAsia="zh-CN" w:bidi="ar-SA"/>
        </w:rPr>
        <w:t>业务水平</w:t>
      </w:r>
      <w:r>
        <w:rPr>
          <w:rFonts w:hint="default" w:ascii="仿宋_GB2312" w:hAnsi="仿宋_GB2312" w:eastAsia="仿宋_GB2312" w:cs="仿宋_GB2312"/>
          <w:kern w:val="2"/>
          <w:sz w:val="32"/>
          <w:szCs w:val="32"/>
          <w:lang w:val="en-US" w:eastAsia="zh-CN" w:bidi="ar-SA"/>
        </w:rPr>
        <w:t>挂钩的评价机制。发展瓶颈破解滞后</w:t>
      </w:r>
      <w:r>
        <w:rPr>
          <w:rFonts w:hint="eastAsia" w:ascii="仿宋_GB2312" w:hAnsi="仿宋_GB2312" w:eastAsia="仿宋_GB2312" w:cs="仿宋_GB2312"/>
          <w:kern w:val="2"/>
          <w:sz w:val="32"/>
          <w:szCs w:val="32"/>
          <w:lang w:val="en-US" w:eastAsia="zh-CN" w:bidi="ar-SA"/>
        </w:rPr>
        <w:t>，</w:t>
      </w:r>
      <w:r>
        <w:rPr>
          <w:rFonts w:hint="default" w:ascii="仿宋_GB2312" w:hAnsi="仿宋_GB2312" w:eastAsia="仿宋_GB2312" w:cs="仿宋_GB2312"/>
          <w:kern w:val="2"/>
          <w:sz w:val="32"/>
          <w:szCs w:val="32"/>
          <w:lang w:val="en-US" w:eastAsia="zh-CN" w:bidi="ar-SA"/>
        </w:rPr>
        <w:t>高水平教练员短缺、训练硬件老化等问题突出，</w:t>
      </w:r>
      <w:r>
        <w:rPr>
          <w:rFonts w:hint="eastAsia" w:ascii="仿宋_GB2312" w:hAnsi="仿宋_GB2312" w:eastAsia="仿宋_GB2312" w:cs="仿宋_GB2312"/>
          <w:kern w:val="2"/>
          <w:sz w:val="32"/>
          <w:szCs w:val="32"/>
          <w:lang w:val="en-US" w:eastAsia="zh-CN" w:bidi="ar-SA"/>
        </w:rPr>
        <w:t>对运动队训练</w:t>
      </w:r>
      <w:r>
        <w:rPr>
          <w:rFonts w:hint="default" w:ascii="仿宋_GB2312" w:hAnsi="仿宋_GB2312" w:eastAsia="仿宋_GB2312" w:cs="仿宋_GB2312"/>
          <w:kern w:val="2"/>
          <w:sz w:val="32"/>
          <w:szCs w:val="32"/>
          <w:lang w:val="en-US" w:eastAsia="zh-CN" w:bidi="ar-SA"/>
        </w:rPr>
        <w:t>备战</w:t>
      </w:r>
      <w:r>
        <w:rPr>
          <w:rFonts w:hint="eastAsia" w:ascii="仿宋_GB2312" w:hAnsi="仿宋_GB2312" w:eastAsia="仿宋_GB2312" w:cs="仿宋_GB2312"/>
          <w:kern w:val="2"/>
          <w:sz w:val="32"/>
          <w:szCs w:val="32"/>
          <w:lang w:val="en-US" w:eastAsia="zh-CN" w:bidi="ar-SA"/>
        </w:rPr>
        <w:t>影响较大</w:t>
      </w:r>
      <w:r>
        <w:rPr>
          <w:rFonts w:hint="default" w:ascii="仿宋_GB2312" w:hAnsi="仿宋_GB2312" w:eastAsia="仿宋_GB2312" w:cs="仿宋_GB2312"/>
          <w:kern w:val="2"/>
          <w:sz w:val="32"/>
          <w:szCs w:val="32"/>
          <w:lang w:val="en-US" w:eastAsia="zh-CN" w:bidi="ar-SA"/>
        </w:rPr>
        <w:t>。创新动力不足</w:t>
      </w:r>
      <w:r>
        <w:rPr>
          <w:rFonts w:hint="eastAsia" w:ascii="仿宋_GB2312" w:hAnsi="仿宋_GB2312" w:eastAsia="仿宋_GB2312" w:cs="仿宋_GB2312"/>
          <w:kern w:val="2"/>
          <w:sz w:val="32"/>
          <w:szCs w:val="32"/>
          <w:lang w:val="en-US" w:eastAsia="zh-CN" w:bidi="ar-SA"/>
        </w:rPr>
        <w:t>，</w:t>
      </w:r>
      <w:r>
        <w:rPr>
          <w:rFonts w:hint="default" w:ascii="仿宋_GB2312" w:hAnsi="仿宋_GB2312" w:eastAsia="仿宋_GB2312" w:cs="仿宋_GB2312"/>
          <w:kern w:val="2"/>
          <w:sz w:val="32"/>
          <w:szCs w:val="32"/>
          <w:lang w:val="en-US" w:eastAsia="zh-CN" w:bidi="ar-SA"/>
        </w:rPr>
        <w:t>青训体系建设、反兴奋剂管理等工作沿用传统模式</w:t>
      </w:r>
      <w:r>
        <w:rPr>
          <w:rFonts w:hint="eastAsia" w:ascii="仿宋_GB2312" w:hAnsi="仿宋_GB2312" w:cs="仿宋_GB2312"/>
          <w:kern w:val="2"/>
          <w:sz w:val="32"/>
          <w:szCs w:val="32"/>
          <w:lang w:val="en-US" w:eastAsia="zh-CN" w:bidi="ar-SA"/>
        </w:rPr>
        <w:t>。</w:t>
      </w:r>
      <w:r>
        <w:rPr>
          <w:rFonts w:hint="default" w:ascii="仿宋_GB2312" w:hAnsi="仿宋_GB2312" w:eastAsia="仿宋_GB2312" w:cs="仿宋_GB2312"/>
          <w:kern w:val="2"/>
          <w:sz w:val="32"/>
          <w:szCs w:val="32"/>
          <w:lang w:val="en-US" w:eastAsia="zh-CN" w:bidi="ar-SA"/>
        </w:rPr>
        <w:t>破解难题时整体性谋划</w:t>
      </w:r>
      <w:r>
        <w:rPr>
          <w:rFonts w:hint="eastAsia" w:ascii="仿宋_GB2312" w:hAnsi="仿宋_GB2312" w:eastAsia="仿宋_GB2312" w:cs="仿宋_GB2312"/>
          <w:kern w:val="2"/>
          <w:sz w:val="32"/>
          <w:szCs w:val="32"/>
          <w:lang w:val="en-US" w:eastAsia="zh-CN" w:bidi="ar-SA"/>
        </w:rPr>
        <w:t>还有不足</w:t>
      </w:r>
      <w:r>
        <w:rPr>
          <w:rFonts w:hint="default" w:ascii="仿宋_GB2312" w:hAnsi="仿宋_GB2312" w:eastAsia="仿宋_GB2312" w:cs="仿宋_GB2312"/>
          <w:kern w:val="2"/>
          <w:sz w:val="32"/>
          <w:szCs w:val="32"/>
          <w:lang w:val="en-US" w:eastAsia="zh-CN" w:bidi="ar-SA"/>
        </w:rPr>
        <w:t>，如解决教练短缺问题</w:t>
      </w:r>
      <w:r>
        <w:rPr>
          <w:rFonts w:hint="eastAsia" w:ascii="仿宋_GB2312" w:hAnsi="仿宋_GB2312" w:eastAsia="仿宋_GB2312" w:cs="仿宋_GB2312"/>
          <w:kern w:val="2"/>
          <w:sz w:val="32"/>
          <w:szCs w:val="32"/>
          <w:lang w:val="en-US" w:eastAsia="zh-CN" w:bidi="ar-SA"/>
        </w:rPr>
        <w:t>更多</w:t>
      </w:r>
      <w:r>
        <w:rPr>
          <w:rFonts w:hint="default" w:ascii="仿宋_GB2312" w:hAnsi="仿宋_GB2312" w:eastAsia="仿宋_GB2312" w:cs="仿宋_GB2312"/>
          <w:kern w:val="2"/>
          <w:sz w:val="32"/>
          <w:szCs w:val="32"/>
          <w:lang w:val="en-US" w:eastAsia="zh-CN" w:bidi="ar-SA"/>
        </w:rPr>
        <w:t>考虑引进，</w:t>
      </w:r>
      <w:r>
        <w:rPr>
          <w:rFonts w:hint="eastAsia" w:ascii="仿宋_GB2312" w:hAnsi="仿宋_GB2312" w:eastAsia="仿宋_GB2312" w:cs="仿宋_GB2312"/>
          <w:kern w:val="2"/>
          <w:sz w:val="32"/>
          <w:szCs w:val="32"/>
          <w:lang w:val="en-US" w:eastAsia="zh-CN" w:bidi="ar-SA"/>
        </w:rPr>
        <w:t>在</w:t>
      </w:r>
      <w:r>
        <w:rPr>
          <w:rFonts w:hint="default" w:ascii="仿宋_GB2312" w:hAnsi="仿宋_GB2312" w:eastAsia="仿宋_GB2312" w:cs="仿宋_GB2312"/>
          <w:kern w:val="2"/>
          <w:sz w:val="32"/>
          <w:szCs w:val="32"/>
          <w:lang w:val="en-US" w:eastAsia="zh-CN" w:bidi="ar-SA"/>
        </w:rPr>
        <w:t>同步推进本土教练培养</w:t>
      </w:r>
      <w:r>
        <w:rPr>
          <w:rFonts w:hint="eastAsia" w:ascii="仿宋_GB2312" w:hAnsi="仿宋_GB2312" w:eastAsia="仿宋_GB2312" w:cs="仿宋_GB2312"/>
          <w:kern w:val="2"/>
          <w:sz w:val="32"/>
          <w:szCs w:val="32"/>
          <w:lang w:val="en-US" w:eastAsia="zh-CN" w:bidi="ar-SA"/>
        </w:rPr>
        <w:t>方面发力还不够</w:t>
      </w:r>
      <w:r>
        <w:rPr>
          <w:rFonts w:hint="eastAsia" w:ascii="仿宋_GB2312" w:hAnsi="仿宋_GB2312" w:cs="仿宋_GB2312"/>
          <w:kern w:val="2"/>
          <w:sz w:val="32"/>
          <w:szCs w:val="32"/>
          <w:lang w:val="en-US" w:eastAsia="zh-CN" w:bidi="ar-SA"/>
        </w:rPr>
        <w:t>，</w:t>
      </w:r>
      <w:r>
        <w:rPr>
          <w:rFonts w:hint="eastAsia" w:ascii="仿宋_GB2312" w:hAnsi="仿宋_GB2312" w:cs="仿宋_GB2312"/>
          <w:color w:val="auto"/>
          <w:sz w:val="32"/>
          <w:szCs w:val="32"/>
          <w:highlight w:val="none"/>
          <w:lang w:val="en-US" w:eastAsia="zh-CN"/>
        </w:rPr>
        <w:t>在对赛事场地租赁、设备购置、人员费用、安全保障等方面的投入受限，影响赛事的质量和规模。</w:t>
      </w:r>
    </w:p>
    <w:p w14:paraId="384877A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六、</w:t>
      </w:r>
      <w:r>
        <w:rPr>
          <w:rFonts w:hint="eastAsia" w:ascii="黑体" w:hAnsi="黑体" w:eastAsia="黑体" w:cs="黑体"/>
          <w:color w:val="auto"/>
          <w:sz w:val="32"/>
          <w:szCs w:val="32"/>
          <w:highlight w:val="none"/>
        </w:rPr>
        <w:t>有关建议</w:t>
      </w:r>
    </w:p>
    <w:p w14:paraId="3C684A87">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根据体育赛事备战的整体目标和实际需求，制定合理的资金分配方案，确保在不同项目、不同层次的赛事活动中合理分配，兼顾公平与效率，在项目决策中，进一步做好绩效目标设置的科学性和合理性，争取更多专项财政资金的支持，</w:t>
      </w:r>
    </w:p>
    <w:p w14:paraId="6910A14B">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left"/>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七、</w:t>
      </w:r>
      <w:r>
        <w:rPr>
          <w:rFonts w:hint="eastAsia" w:ascii="黑体" w:hAnsi="黑体" w:eastAsia="黑体" w:cs="黑体"/>
          <w:color w:val="auto"/>
          <w:sz w:val="32"/>
          <w:szCs w:val="32"/>
          <w:highlight w:val="none"/>
        </w:rPr>
        <w:t>其他需要说明的问题</w:t>
      </w:r>
    </w:p>
    <w:p w14:paraId="52045915">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left"/>
        <w:textAlignment w:val="auto"/>
        <w:rPr>
          <w:highlight w:val="none"/>
        </w:rPr>
      </w:pPr>
      <w:r>
        <w:rPr>
          <w:rFonts w:hint="eastAsia" w:ascii="仿宋_GB2312" w:hAnsi="仿宋_GB2312" w:eastAsia="仿宋_GB2312" w:cs="仿宋_GB2312"/>
          <w:color w:val="auto"/>
          <w:sz w:val="32"/>
          <w:szCs w:val="32"/>
          <w:highlight w:val="none"/>
          <w:lang w:val="en-US" w:eastAsia="zh-CN"/>
        </w:rPr>
        <w:t>后期我单位将对项目进行总结，在评价工作过程中遇到的问题及政策与制度完善以书面材料等形式进行备案并妥善保管，今后工作中我单位将继续加强财务管理，严格财务审核，提高财务的精细化管理，并按照政府信息公开有关规定，积极推进评价结果和评价报告等绩效信息的公开，加强社会和舆论监督，提高财政资金使用透明度，不断提高为民服务效率，切实提升群众满意度。</w:t>
      </w:r>
      <w:bookmarkStart w:id="0" w:name="_GoBack"/>
      <w:bookmarkEnd w:id="0"/>
    </w:p>
    <w:sectPr>
      <w:pgSz w:w="11906" w:h="16838"/>
      <w:pgMar w:top="1984" w:right="1531" w:bottom="1701" w:left="1531" w:header="737" w:footer="850" w:gutter="0"/>
      <w:cols w:space="0" w:num="1"/>
      <w:rtlGutter w:val="0"/>
      <w:docGrid w:type="lines" w:linePitch="4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decorative"/>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modern"/>
    <w:pitch w:val="default"/>
    <w:sig w:usb0="E00006FF" w:usb1="420024FF" w:usb2="02000000" w:usb3="00000000" w:csb0="2000019F" w:csb1="00000000"/>
  </w:font>
  <w:font w:name="方正小标宋简体">
    <w:altName w:val="方正舒体"/>
    <w:panose1 w:val="02010601030101010101"/>
    <w:charset w:val="86"/>
    <w:family w:val="auto"/>
    <w:pitch w:val="default"/>
    <w:sig w:usb0="00000000" w:usb1="00000000" w:usb2="00000000" w:usb3="00000000" w:csb0="00040000" w:csb1="00000000"/>
  </w:font>
  <w:font w:name="仿宋">
    <w:panose1 w:val="02010609060101010101"/>
    <w:charset w:val="86"/>
    <w:family w:val="decorative"/>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B44B5E"/>
    <w:multiLevelType w:val="singleLevel"/>
    <w:tmpl w:val="27B44B5E"/>
    <w:lvl w:ilvl="0" w:tentative="0">
      <w:start w:val="1"/>
      <w:numFmt w:val="decimal"/>
      <w:suff w:val="nothing"/>
      <w:lvlText w:val="%1、"/>
      <w:lvlJc w:val="left"/>
    </w:lvl>
  </w:abstractNum>
  <w:abstractNum w:abstractNumId="1">
    <w:nsid w:val="69BA5F14"/>
    <w:multiLevelType w:val="singleLevel"/>
    <w:tmpl w:val="69BA5F14"/>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21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2MWJjYzE4ODNiNThkZWIwZDQzYTExYzlhYzg5MTQifQ=="/>
  </w:docVars>
  <w:rsids>
    <w:rsidRoot w:val="56DF6C36"/>
    <w:rsid w:val="03304250"/>
    <w:rsid w:val="04D94D82"/>
    <w:rsid w:val="05097AD0"/>
    <w:rsid w:val="057E6C6F"/>
    <w:rsid w:val="0701348E"/>
    <w:rsid w:val="081C165C"/>
    <w:rsid w:val="09743699"/>
    <w:rsid w:val="12EA65EE"/>
    <w:rsid w:val="1428639F"/>
    <w:rsid w:val="166626FB"/>
    <w:rsid w:val="16E66E3E"/>
    <w:rsid w:val="1B2572C5"/>
    <w:rsid w:val="1B702E93"/>
    <w:rsid w:val="1C9F7D88"/>
    <w:rsid w:val="23533E4B"/>
    <w:rsid w:val="244B0C98"/>
    <w:rsid w:val="254F08C6"/>
    <w:rsid w:val="267B25B1"/>
    <w:rsid w:val="2A846AAC"/>
    <w:rsid w:val="2E381263"/>
    <w:rsid w:val="2EA840B4"/>
    <w:rsid w:val="30E730CB"/>
    <w:rsid w:val="31EE5C53"/>
    <w:rsid w:val="34052FE8"/>
    <w:rsid w:val="365A34BC"/>
    <w:rsid w:val="387202A9"/>
    <w:rsid w:val="39217148"/>
    <w:rsid w:val="394012FE"/>
    <w:rsid w:val="39AE7B43"/>
    <w:rsid w:val="3A5E212D"/>
    <w:rsid w:val="3AA528F0"/>
    <w:rsid w:val="3BF94372"/>
    <w:rsid w:val="3C1F3318"/>
    <w:rsid w:val="3E6E7AA7"/>
    <w:rsid w:val="435F1167"/>
    <w:rsid w:val="48BC6665"/>
    <w:rsid w:val="4ADB2DDC"/>
    <w:rsid w:val="4CBB10F3"/>
    <w:rsid w:val="50BD1283"/>
    <w:rsid w:val="50E926B1"/>
    <w:rsid w:val="51373C80"/>
    <w:rsid w:val="529A2D92"/>
    <w:rsid w:val="538452A3"/>
    <w:rsid w:val="551F668B"/>
    <w:rsid w:val="56DF6C36"/>
    <w:rsid w:val="57785D2A"/>
    <w:rsid w:val="58E75F2E"/>
    <w:rsid w:val="5A9418A9"/>
    <w:rsid w:val="5C3D2F98"/>
    <w:rsid w:val="5C9238ED"/>
    <w:rsid w:val="5CEA041B"/>
    <w:rsid w:val="5F5407BB"/>
    <w:rsid w:val="617819BE"/>
    <w:rsid w:val="628F4B42"/>
    <w:rsid w:val="62BB6808"/>
    <w:rsid w:val="62CF5E0F"/>
    <w:rsid w:val="634520EC"/>
    <w:rsid w:val="66644067"/>
    <w:rsid w:val="67687A02"/>
    <w:rsid w:val="681770D1"/>
    <w:rsid w:val="68997A2B"/>
    <w:rsid w:val="69DF44BF"/>
    <w:rsid w:val="6B0A3FAC"/>
    <w:rsid w:val="6D7F5857"/>
    <w:rsid w:val="6E584699"/>
    <w:rsid w:val="6EA7077F"/>
    <w:rsid w:val="6EB4152F"/>
    <w:rsid w:val="6F736745"/>
    <w:rsid w:val="6FDA17BC"/>
    <w:rsid w:val="70473EC4"/>
    <w:rsid w:val="718F50E7"/>
    <w:rsid w:val="71C51A3F"/>
    <w:rsid w:val="76892DF8"/>
    <w:rsid w:val="7808157C"/>
    <w:rsid w:val="78191BAF"/>
    <w:rsid w:val="7A7430CC"/>
    <w:rsid w:val="7A765096"/>
    <w:rsid w:val="7B4F7695"/>
    <w:rsid w:val="7B5567E1"/>
    <w:rsid w:val="7C672E96"/>
    <w:rsid w:val="7DBF384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qFormat/>
    <w:uiPriority w:val="0"/>
    <w:pPr>
      <w:keepNext/>
      <w:keepLines/>
      <w:spacing w:beforeLines="0" w:beforeAutospacing="0" w:afterLines="0" w:afterAutospacing="0" w:line="600" w:lineRule="exact"/>
      <w:ind w:firstLine="627" w:firstLineChars="200"/>
      <w:outlineLvl w:val="0"/>
    </w:pPr>
    <w:rPr>
      <w:rFonts w:ascii="Calibri" w:hAnsi="Calibri" w:eastAsia="楷体" w:cs="Times New Roman"/>
      <w:b/>
      <w:kern w:val="44"/>
    </w:rPr>
  </w:style>
  <w:style w:type="paragraph" w:styleId="2">
    <w:name w:val="heading 3"/>
    <w:basedOn w:val="1"/>
    <w:next w:val="1"/>
    <w:unhideWhenUsed/>
    <w:qFormat/>
    <w:uiPriority w:val="9"/>
    <w:pPr>
      <w:keepNext/>
      <w:widowControl/>
      <w:spacing w:before="240" w:after="60"/>
      <w:jc w:val="left"/>
      <w:outlineLvl w:val="2"/>
    </w:pPr>
    <w:rPr>
      <w:rFonts w:ascii="Cambria" w:hAnsi="Cambria"/>
      <w:b/>
      <w:bCs/>
      <w:kern w:val="0"/>
      <w:szCs w:val="26"/>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annotation text"/>
    <w:basedOn w:val="1"/>
    <w:unhideWhenUsed/>
    <w:qFormat/>
    <w:uiPriority w:val="99"/>
    <w:pPr>
      <w:jc w:val="left"/>
    </w:pPr>
  </w:style>
  <w:style w:type="paragraph" w:styleId="5">
    <w:name w:val="Body Text Indent 2"/>
    <w:basedOn w:val="1"/>
    <w:qFormat/>
    <w:uiPriority w:val="0"/>
    <w:pPr>
      <w:spacing w:line="480" w:lineRule="auto"/>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4324</Words>
  <Characters>4504</Characters>
  <Lines>0</Lines>
  <Paragraphs>0</Paragraphs>
  <TotalTime>6</TotalTime>
  <ScaleCrop>false</ScaleCrop>
  <LinksUpToDate>false</LinksUpToDate>
  <CharactersWithSpaces>4513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2024-04-08T08:20:00Z</dcterms:created>
  <dc:creator>Pari</dc:creator>
  <cp:lastModifiedBy>左先生</cp:lastModifiedBy>
  <cp:lastPrinted>2025-03-19T05:05:00Z</cp:lastPrinted>
  <dcterms:modified xsi:type="dcterms:W3CDTF">2026-03-23T04:58:11Z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41312E3E960A4378A111CAB91ADD6528_13</vt:lpwstr>
  </property>
  <property fmtid="{D5CDD505-2E9C-101B-9397-08002B2CF9AE}" pid="4" name="KSOTemplateDocerSaveRecord">
    <vt:lpwstr>eyJoZGlkIjoiNDViN2Y4ODlkMDA0YmMxNGIwZWQzNjA4YTFjYmU5YmIiLCJ1c2VySWQiOiIzMTUyMzYyMTYifQ==</vt:lpwstr>
  </property>
</Properties>
</file>