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04D">
      <w:pPr>
        <w:keepLines w:val="0"/>
        <w:pageBreakBefore w:val="0"/>
        <w:kinsoku/>
        <w:wordWrap/>
        <w:overflowPunct/>
        <w:topLinePunct w:val="0"/>
        <w:autoSpaceDE/>
        <w:autoSpaceDN/>
        <w:bidi w:val="0"/>
        <w:adjustRightInd/>
        <w:snapToGrid/>
        <w:spacing w:line="600" w:lineRule="exact"/>
        <w:ind w:left="0" w:leftChars="0" w:right="0" w:rightChars="0" w:firstLine="723" w:firstLineChars="200"/>
        <w:jc w:val="center"/>
        <w:textAlignment w:val="auto"/>
        <w:rPr>
          <w:rFonts w:hint="eastAsia" w:ascii="宋体" w:hAnsi="宋体" w:eastAsia="宋体" w:cs="Arial"/>
          <w:b/>
          <w:bCs/>
          <w:sz w:val="36"/>
          <w:szCs w:val="36"/>
          <w:highlight w:val="none"/>
        </w:rPr>
      </w:pPr>
    </w:p>
    <w:p w14:paraId="624A3D14">
      <w:pPr>
        <w:keepLines w:val="0"/>
        <w:pageBreakBefore w:val="0"/>
        <w:kinsoku/>
        <w:wordWrap/>
        <w:overflowPunct/>
        <w:topLinePunct w:val="0"/>
        <w:autoSpaceDE/>
        <w:autoSpaceDN/>
        <w:bidi w:val="0"/>
        <w:adjustRightInd/>
        <w:snapToGrid/>
        <w:spacing w:line="600" w:lineRule="exact"/>
        <w:ind w:left="0" w:leftChars="0" w:right="0" w:rightChars="0" w:firstLine="883" w:firstLineChars="20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14:paraId="01E3B5A8">
      <w:pPr>
        <w:keepLines w:val="0"/>
        <w:pageBreakBefore w:val="0"/>
        <w:kinsoku/>
        <w:wordWrap/>
        <w:overflowPunct/>
        <w:topLinePunct w:val="0"/>
        <w:autoSpaceDE/>
        <w:autoSpaceDN/>
        <w:bidi w:val="0"/>
        <w:adjustRightInd/>
        <w:snapToGrid/>
        <w:spacing w:line="600" w:lineRule="exact"/>
        <w:ind w:left="0" w:leftChars="0" w:right="0" w:rightChars="0" w:firstLine="720" w:firstLineChars="20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7F91A370">
      <w:pPr>
        <w:pStyle w:val="3"/>
        <w:keepLines w:val="0"/>
        <w:pageBreakBefore w:val="0"/>
        <w:kinsoku/>
        <w:wordWrap/>
        <w:overflowPunct/>
        <w:topLinePunct w:val="0"/>
        <w:autoSpaceDE/>
        <w:autoSpaceDN/>
        <w:bidi w:val="0"/>
        <w:adjustRightInd/>
        <w:snapToGrid/>
        <w:spacing w:before="0" w:after="0"/>
        <w:ind w:left="0" w:right="0" w:rightChars="0" w:firstLine="723" w:firstLineChars="200"/>
        <w:textAlignment w:val="auto"/>
        <w:rPr>
          <w:rFonts w:hint="eastAsia" w:ascii="Times New Roman" w:hAnsi="宋体" w:cs="宋体"/>
          <w:color w:val="auto"/>
          <w:kern w:val="0"/>
          <w:sz w:val="36"/>
          <w:szCs w:val="36"/>
          <w:highlight w:val="none"/>
          <w:lang w:eastAsia="zh-CN"/>
        </w:rPr>
      </w:pPr>
    </w:p>
    <w:p w14:paraId="6105E3E5">
      <w:pPr>
        <w:keepLines w:val="0"/>
        <w:pageBreakBefore w:val="0"/>
        <w:kinsoku/>
        <w:wordWrap/>
        <w:overflowPunct/>
        <w:topLinePunct w:val="0"/>
        <w:autoSpaceDE/>
        <w:autoSpaceDN/>
        <w:bidi w:val="0"/>
        <w:adjustRightInd/>
        <w:snapToGrid/>
        <w:ind w:left="0" w:right="0" w:rightChars="0" w:firstLine="720" w:firstLineChars="200"/>
        <w:textAlignment w:val="auto"/>
        <w:rPr>
          <w:rFonts w:hint="eastAsia" w:ascii="Times New Roman" w:hAnsi="宋体" w:cs="宋体"/>
          <w:color w:val="auto"/>
          <w:kern w:val="0"/>
          <w:sz w:val="36"/>
          <w:szCs w:val="36"/>
          <w:highlight w:val="none"/>
          <w:lang w:eastAsia="zh-CN"/>
        </w:rPr>
      </w:pPr>
    </w:p>
    <w:p w14:paraId="1F7AB263">
      <w:pPr>
        <w:pStyle w:val="3"/>
        <w:keepLines w:val="0"/>
        <w:pageBreakBefore w:val="0"/>
        <w:kinsoku/>
        <w:wordWrap/>
        <w:overflowPunct/>
        <w:topLinePunct w:val="0"/>
        <w:autoSpaceDE/>
        <w:autoSpaceDN/>
        <w:bidi w:val="0"/>
        <w:adjustRightInd/>
        <w:snapToGrid/>
        <w:spacing w:before="0" w:after="0"/>
        <w:ind w:left="0" w:right="0" w:rightChars="0" w:firstLine="723" w:firstLineChars="200"/>
        <w:textAlignment w:val="auto"/>
        <w:rPr>
          <w:rFonts w:hint="eastAsia" w:ascii="Times New Roman" w:hAnsi="宋体" w:cs="宋体"/>
          <w:color w:val="auto"/>
          <w:kern w:val="0"/>
          <w:sz w:val="36"/>
          <w:szCs w:val="36"/>
          <w:highlight w:val="none"/>
          <w:lang w:eastAsia="zh-CN"/>
        </w:rPr>
      </w:pPr>
    </w:p>
    <w:p w14:paraId="5B37ADB9">
      <w:pPr>
        <w:pStyle w:val="3"/>
        <w:keepLines w:val="0"/>
        <w:pageBreakBefore w:val="0"/>
        <w:kinsoku/>
        <w:wordWrap/>
        <w:overflowPunct/>
        <w:topLinePunct w:val="0"/>
        <w:autoSpaceDE/>
        <w:autoSpaceDN/>
        <w:bidi w:val="0"/>
        <w:adjustRightInd/>
        <w:snapToGrid/>
        <w:spacing w:before="0" w:after="0"/>
        <w:ind w:left="0" w:right="0" w:rightChars="0" w:firstLine="602" w:firstLineChars="200"/>
        <w:textAlignment w:val="auto"/>
        <w:rPr>
          <w:rFonts w:hint="eastAsia"/>
          <w:highlight w:val="none"/>
          <w:lang w:eastAsia="zh-CN"/>
        </w:rPr>
      </w:pPr>
    </w:p>
    <w:p w14:paraId="25C62AAF">
      <w:pPr>
        <w:keepLines w:val="0"/>
        <w:pageBreakBefore w:val="0"/>
        <w:kinsoku/>
        <w:wordWrap/>
        <w:overflowPunct/>
        <w:topLinePunct w:val="0"/>
        <w:autoSpaceDE/>
        <w:autoSpaceDN/>
        <w:bidi w:val="0"/>
        <w:adjustRightInd/>
        <w:snapToGrid/>
        <w:ind w:left="0" w:right="0" w:rightChars="0" w:firstLine="640" w:firstLineChars="200"/>
        <w:jc w:val="both"/>
        <w:textAlignment w:val="auto"/>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val="en-US" w:eastAsia="zh-CN"/>
        </w:rPr>
        <w:t>开展体育产业事业规划相关业务专项</w:t>
      </w:r>
    </w:p>
    <w:p w14:paraId="18B1EC90">
      <w:pPr>
        <w:keepLines w:val="0"/>
        <w:pageBreakBefore w:val="0"/>
        <w:kinsoku/>
        <w:wordWrap/>
        <w:overflowPunct/>
        <w:topLinePunct w:val="0"/>
        <w:autoSpaceDE/>
        <w:autoSpaceDN/>
        <w:bidi w:val="0"/>
        <w:adjustRightInd/>
        <w:snapToGrid/>
        <w:ind w:left="0" w:right="0" w:rightChars="0" w:firstLine="640" w:firstLineChars="200"/>
        <w:jc w:val="left"/>
        <w:textAlignment w:val="auto"/>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新疆维吾尔自治区体育局体育产业发展中心</w:t>
      </w:r>
    </w:p>
    <w:p w14:paraId="41628B3C">
      <w:pPr>
        <w:keepLines w:val="0"/>
        <w:pageBreakBefore w:val="0"/>
        <w:kinsoku/>
        <w:wordWrap/>
        <w:overflowPunct/>
        <w:topLinePunct w:val="0"/>
        <w:autoSpaceDE/>
        <w:autoSpaceDN/>
        <w:bidi w:val="0"/>
        <w:adjustRightInd/>
        <w:snapToGrid/>
        <w:ind w:left="0" w:right="0" w:rightChars="0" w:firstLine="640" w:firstLineChars="200"/>
        <w:jc w:val="both"/>
        <w:textAlignment w:val="auto"/>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6110C4ED">
      <w:pPr>
        <w:keepLines w:val="0"/>
        <w:pageBreakBefore w:val="0"/>
        <w:kinsoku/>
        <w:wordWrap/>
        <w:overflowPunct/>
        <w:topLinePunct w:val="0"/>
        <w:autoSpaceDE/>
        <w:autoSpaceDN/>
        <w:bidi w:val="0"/>
        <w:adjustRightInd/>
        <w:snapToGrid/>
        <w:ind w:left="0" w:right="0" w:rightChars="0" w:firstLine="640" w:firstLineChars="200"/>
        <w:jc w:val="both"/>
        <w:textAlignment w:val="auto"/>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闫世信</w:t>
      </w:r>
    </w:p>
    <w:p w14:paraId="3EC6C2A1">
      <w:pPr>
        <w:keepLines w:val="0"/>
        <w:pageBreakBefore w:val="0"/>
        <w:kinsoku/>
        <w:wordWrap/>
        <w:overflowPunct/>
        <w:topLinePunct w:val="0"/>
        <w:autoSpaceDE/>
        <w:autoSpaceDN/>
        <w:bidi w:val="0"/>
        <w:adjustRightInd/>
        <w:snapToGrid/>
        <w:ind w:left="0" w:right="0" w:rightChars="0" w:firstLine="640" w:firstLineChars="200"/>
        <w:textAlignment w:val="auto"/>
        <w:rPr>
          <w:rFonts w:ascii="仿宋_GB2312"/>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2026</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18</w:t>
      </w:r>
      <w:r>
        <w:rPr>
          <w:rFonts w:hint="eastAsia" w:ascii="仿宋" w:hAnsi="仿宋" w:eastAsia="仿宋" w:cs="仿宋"/>
          <w:color w:val="auto"/>
          <w:kern w:val="0"/>
          <w:sz w:val="32"/>
          <w:szCs w:val="32"/>
          <w:highlight w:val="none"/>
        </w:rPr>
        <w:t>日</w:t>
      </w:r>
      <w:r>
        <w:rPr>
          <w:rFonts w:ascii="仿宋_GB2312"/>
          <w:szCs w:val="30"/>
          <w:highlight w:val="none"/>
        </w:rPr>
        <w:br w:type="page"/>
      </w:r>
    </w:p>
    <w:p w14:paraId="6ECA9C83">
      <w:pPr>
        <w:keepLines w:val="0"/>
        <w:pageBreakBefore w:val="0"/>
        <w:kinsoku/>
        <w:wordWrap/>
        <w:overflowPunct/>
        <w:topLinePunct w:val="0"/>
        <w:autoSpaceDE/>
        <w:autoSpaceDN/>
        <w:bidi w:val="0"/>
        <w:adjustRightInd/>
        <w:snapToGrid/>
        <w:spacing w:line="600" w:lineRule="exact"/>
        <w:ind w:left="0" w:leftChars="0" w:right="0" w:rightChars="0" w:firstLine="600" w:firstLineChars="200"/>
        <w:textAlignment w:val="auto"/>
        <w:rPr>
          <w:rFonts w:ascii="黑体" w:hAnsi="黑体" w:eastAsia="黑体"/>
          <w:highlight w:val="none"/>
        </w:rPr>
      </w:pPr>
      <w:r>
        <w:rPr>
          <w:rFonts w:hint="eastAsia" w:ascii="黑体" w:hAnsi="黑体" w:eastAsia="黑体"/>
          <w:highlight w:val="none"/>
        </w:rPr>
        <w:t>一、基本情况</w:t>
      </w:r>
    </w:p>
    <w:p w14:paraId="2E6B2FF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1F86A9F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14:paraId="7BB7BF8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bookmarkStart w:id="0" w:name="b5f0d2c7eed14ea1a9a698729af7e2e8"/>
      <w:r>
        <w:rPr>
          <w:rFonts w:hint="eastAsia" w:ascii="仿宋_GB2312" w:hAnsi="仿宋_GB2312" w:cs="仿宋_GB2312"/>
          <w:color w:val="auto"/>
          <w:sz w:val="32"/>
          <w:szCs w:val="32"/>
          <w:highlight w:val="none"/>
          <w:lang w:val="en-US" w:eastAsia="zh-CN"/>
        </w:rPr>
        <w:t>为深入贯彻落实《“十四五”体育发展规划》及《新疆维吾尔自治区文化旅游产业集群发展规划（2025–2030年）》战略部署，紧扣体育强国建设和自治区“文化润疆”“旅游兴疆”工作大局，我单位立足体育产业高质量发展核心任务，统筹推进体育产业基础研究、品牌推广与赛事赋能三大板块工作。项目以完善体育产业基础数据体系为支撑，以搭建全国性展示交流平台为抓手，以培育精品赛事活动为引擎，着力构建“数据赋能、品牌引领、赛事驱动”的体育产业发展新格局。</w:t>
      </w:r>
      <w:bookmarkEnd w:id="0"/>
    </w:p>
    <w:p w14:paraId="0282264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2、主要内容及实施情况 </w:t>
      </w:r>
    </w:p>
    <w:p w14:paraId="7A1001F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（一）夯实数据基础，完成全区体育产业名录库维护</w:t>
      </w:r>
    </w:p>
    <w:p w14:paraId="7A71A0F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严格按照国家体育总局工作要求，组织开展全区体育产业名录库年度维护工作。通过数据采集、审核、校验与动态更新，全面摸清我区体育产业单位底数，确保了名录库数据的完整性、准确性与时效性，为自治区制定体育产业政策、开展宏观决策提供了坚实的数据支撑。该项目已按计划完成1次年度维护任务。</w:t>
      </w:r>
    </w:p>
    <w:p w14:paraId="7175FBC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（二）搭建展示平台，高质量参展全国体育“两博会”</w:t>
      </w:r>
    </w:p>
    <w:p w14:paraId="74EC122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2025年9月，组织参加在江苏苏州举办的“中国体育文化博览会 中国体育旅游博览会”。展区系统展示我区全民健身、体育产业及体育文化发展成果，有效提升了新疆体育品牌的全国影响力，为引进先进经验、拓展合作渠道搭建了重要平台。</w:t>
      </w:r>
    </w:p>
    <w:p w14:paraId="47D4B9D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（三）聚焦赛事引领，示范带动全民健身蓬勃发展</w:t>
      </w:r>
    </w:p>
    <w:p w14:paraId="427F575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围绕“体育+旅游”融合发展思路，全年组织开展全区体育赛事活动4次。赛事不仅丰富了群众体育文化生活，更显著提升了广大群众参与体育运动的积极性，对推动全民健身国家战略落地、提升人民健康水平起到了积极的促进作用。</w:t>
      </w:r>
    </w:p>
    <w:p w14:paraId="2698EFA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各项目指标均已完成，完成效果较好。</w:t>
      </w:r>
    </w:p>
    <w:p w14:paraId="6F87B26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14:paraId="7143A02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lang w:val="en-US" w:eastAsia="zh-CN"/>
        </w:rPr>
        <w:t>%。</w:t>
      </w:r>
    </w:p>
    <w:p w14:paraId="343243D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截止</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年12月31日为止，已支出</w:t>
      </w:r>
      <w:r>
        <w:rPr>
          <w:rFonts w:hint="eastAsia" w:ascii="仿宋_GB2312" w:hAnsi="仿宋_GB2312" w:cs="仿宋_GB2312"/>
          <w:color w:val="auto"/>
          <w:sz w:val="32"/>
          <w:szCs w:val="32"/>
          <w:highlight w:val="none"/>
          <w:lang w:val="en-US" w:eastAsia="zh-CN"/>
        </w:rPr>
        <w:t>126</w:t>
      </w:r>
      <w:r>
        <w:rPr>
          <w:rFonts w:hint="eastAsia" w:ascii="仿宋_GB2312" w:hAnsi="仿宋_GB2312" w:eastAsia="仿宋_GB2312" w:cs="仿宋_GB2312"/>
          <w:color w:val="auto"/>
          <w:sz w:val="32"/>
          <w:szCs w:val="32"/>
          <w:highlight w:val="none"/>
          <w:lang w:val="en-US" w:eastAsia="zh-CN"/>
        </w:rPr>
        <w:t>万元，资金执行率</w:t>
      </w:r>
      <w:r>
        <w:rPr>
          <w:rFonts w:hint="eastAsia" w:ascii="仿宋_GB2312" w:hAnsi="仿宋_GB2312" w:cs="仿宋_GB2312"/>
          <w:color w:val="auto"/>
          <w:sz w:val="32"/>
          <w:szCs w:val="32"/>
          <w:highlight w:val="none"/>
          <w:lang w:val="en-US" w:eastAsia="zh-CN"/>
        </w:rPr>
        <w:t>86.90%</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14:paraId="7B1B8F0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5239383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开展全区体育产业名录库维护项目次数达到1次，开展全区体育赛事活动的次数达到4次，参展1次全国体育“两博会”，开展全区体育产业系列赛事活动，对推动全民健身具有示范引领作用，从而提升群众参与体育运动积极性，提高人民健康水平。</w:t>
      </w:r>
    </w:p>
    <w:p w14:paraId="6DAA76C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3E9959C">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0323F35E">
      <w:pPr>
        <w:keepLines w:val="0"/>
        <w:pageBreakBefore w:val="0"/>
        <w:kinsoku/>
        <w:wordWrap/>
        <w:overflowPunct/>
        <w:topLinePunct w:val="0"/>
        <w:autoSpaceDE/>
        <w:autoSpaceDN/>
        <w:bidi w:val="0"/>
        <w:adjustRightInd/>
        <w:snapToGrid/>
        <w:spacing w:line="600" w:lineRule="exact"/>
        <w:ind w:left="0" w:leftChars="0" w:right="0" w:righ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68BB5BC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 w:hAnsi="仿宋" w:eastAsia="仿宋" w:cs="仿宋"/>
          <w:color w:val="auto"/>
          <w:kern w:val="0"/>
          <w:sz w:val="32"/>
          <w:szCs w:val="32"/>
          <w:highlight w:val="none"/>
          <w:lang w:val="en-US" w:eastAsia="zh-CN"/>
        </w:rPr>
        <w:t>开展体育产业事业规划相关业务专项项目</w:t>
      </w:r>
      <w:r>
        <w:rPr>
          <w:rFonts w:hint="eastAsia" w:ascii="仿宋_GB2312" w:hAnsi="仿宋_GB2312" w:eastAsia="仿宋_GB2312" w:cs="仿宋_GB2312"/>
          <w:color w:val="auto"/>
          <w:sz w:val="32"/>
          <w:szCs w:val="32"/>
          <w:highlight w:val="none"/>
          <w:lang w:val="en-US" w:eastAsia="zh-CN"/>
        </w:rPr>
        <w:t>设计目标实现程度，</w:t>
      </w:r>
      <w:bookmarkStart w:id="1" w:name="_GoBack"/>
      <w:bookmarkEnd w:id="1"/>
      <w:r>
        <w:rPr>
          <w:rFonts w:hint="eastAsia" w:ascii="仿宋_GB2312" w:hAnsi="仿宋_GB2312" w:eastAsia="仿宋_GB2312" w:cs="仿宋_GB2312"/>
          <w:color w:val="auto"/>
          <w:sz w:val="32"/>
          <w:szCs w:val="32"/>
          <w:highlight w:val="none"/>
          <w:lang w:val="en-US" w:eastAsia="zh-CN"/>
        </w:rPr>
        <w:t>考核项目资金支出效率和综合效果，及时总结经验，分析存在问题及原因，切实采取有效措施进一步改进和加强财政专项资金管理，推动财政资金聚力增效，提高公共服务供给质量，增强政府公信力和执行力。</w:t>
      </w:r>
    </w:p>
    <w:p w14:paraId="06A2AB4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16702E9E">
      <w:pPr>
        <w:keepLines w:val="0"/>
        <w:pageBreakBefore w:val="0"/>
        <w:kinsoku/>
        <w:wordWrap/>
        <w:overflowPunct/>
        <w:topLinePunct w:val="0"/>
        <w:autoSpaceDE/>
        <w:autoSpaceDN/>
        <w:bidi w:val="0"/>
        <w:adjustRightInd/>
        <w:snapToGrid/>
        <w:spacing w:line="600" w:lineRule="exact"/>
        <w:ind w:left="0" w:leftChars="0" w:right="0" w:righ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1F6CEF1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4CBBF96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0D4069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2F12782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29A1D86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60E5A8D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3EA3FF3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1CFE1E0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产出指标（20%）、成本指标（10%）、效益指标（30%）五类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0144FB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个过程进行评价，涉及二级指标10个，三级指标17个，具体评价指标体系</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6347989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14:paraId="09F2AF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14:paraId="0AE2879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237744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5376F8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E28E2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4F54D99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3385F02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1025E5C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3C27256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51C4DCA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2F5AB6E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700FF58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6DE98FA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2ACFFA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99371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630E38C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6CFA9B1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2659B22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417E04F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47999F4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251815A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31BB425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0FA9683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经认真对照《项目支出绩效评价指标体系》，我单位开展体育产业事业规划相关业务专项指标都较好地达到了相关要求，项目评价得分：</w:t>
      </w:r>
      <w:r>
        <w:rPr>
          <w:rFonts w:hint="eastAsia" w:ascii="仿宋_GB2312" w:hAnsi="仿宋_GB2312" w:cs="仿宋_GB2312"/>
          <w:color w:val="auto"/>
          <w:sz w:val="32"/>
          <w:szCs w:val="32"/>
          <w:highlight w:val="none"/>
          <w:lang w:val="en-US" w:eastAsia="zh-CN"/>
        </w:rPr>
        <w:t>99</w:t>
      </w:r>
      <w:r>
        <w:rPr>
          <w:rFonts w:hint="eastAsia" w:ascii="仿宋_GB2312" w:hAnsi="仿宋_GB2312" w:eastAsia="仿宋_GB2312" w:cs="仿宋_GB2312"/>
          <w:color w:val="auto"/>
          <w:sz w:val="32"/>
          <w:szCs w:val="32"/>
          <w:highlight w:val="none"/>
          <w:lang w:val="en-US" w:eastAsia="zh-CN"/>
        </w:rPr>
        <w:t>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4E6588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1AC3B01B">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（一）项目决策分析</w:t>
      </w:r>
    </w:p>
    <w:p w14:paraId="6B62417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lang w:val="en-US" w:eastAsia="zh-CN"/>
        </w:rPr>
        <w:t>%。</w:t>
      </w:r>
    </w:p>
    <w:p w14:paraId="658EB1B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0AE286A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635143">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①项目立项依据是《关于促进全民健身和体育消费推动体育产业高质量发展的实施意见》（新政办发﹝2020﹞56号）《国务院办公厅关于加快发展体育产业的指导意见》（国办发﹝2010﹞22号），符合国家法律法规和相关政策；</w:t>
      </w:r>
    </w:p>
    <w:p w14:paraId="282684D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②项目立项依据《自治区财政资金使用跟踪反馈管理暂行办法》（新财预﹝2016﹞113)，符合部门或行业发展规划和政策要求；</w:t>
      </w:r>
    </w:p>
    <w:p w14:paraId="5579DD8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2E7A6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0074A11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32467EB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393815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3A4F16A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8个</w:t>
      </w:r>
      <w:r>
        <w:rPr>
          <w:rFonts w:hint="eastAsia" w:ascii="仿宋_GB2312" w:hAnsi="仿宋_GB2312" w:eastAsia="仿宋_GB2312" w:cs="仿宋_GB2312"/>
          <w:color w:val="auto"/>
          <w:sz w:val="32"/>
          <w:szCs w:val="32"/>
          <w:highlight w:val="none"/>
          <w:lang w:val="en-US" w:eastAsia="zh-CN"/>
        </w:rPr>
        <w:t>。项目绩效目标与实际工作内容具有相关性；项目预期产出效益和效果符合正常的业绩水平；与预算确定的项目投资额或资金量相匹配。</w:t>
      </w:r>
    </w:p>
    <w:p w14:paraId="7FD9723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81063B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个。</w:t>
      </w:r>
    </w:p>
    <w:p w14:paraId="5203EA4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75215EE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开展全区体育产业名录库维护项目次数&gt;=1次；开展全区体育赛事活动的次数&gt;=4次；参展全国体育“两博会”次数&gt;=1次。</w:t>
      </w:r>
    </w:p>
    <w:p w14:paraId="10053DA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eastAsia="仿宋_GB2312" w:cs="仿宋_GB2312"/>
          <w:color w:val="auto"/>
          <w:sz w:val="32"/>
          <w:szCs w:val="32"/>
          <w:highlight w:val="none"/>
          <w:lang w:val="en-US" w:eastAsia="zh-CN"/>
        </w:rPr>
        <w:t>：体育产业名录库数据填报完成率</w:t>
      </w:r>
      <w:r>
        <w:rPr>
          <w:rFonts w:hint="eastAsia" w:ascii="仿宋_GB2312" w:hAnsi="仿宋_GB2312" w:cs="仿宋_GB2312"/>
          <w:color w:val="auto"/>
          <w:sz w:val="32"/>
          <w:szCs w:val="32"/>
          <w:highlight w:val="none"/>
          <w:lang w:val="en-US" w:eastAsia="zh-CN"/>
        </w:rPr>
        <w:t>&gt;=90%；赛事完成率=100%。</w:t>
      </w:r>
    </w:p>
    <w:p w14:paraId="60F6089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时效指标：全区体育产业名录库维护工作按时完成率</w:t>
      </w:r>
      <w:r>
        <w:rPr>
          <w:rFonts w:hint="eastAsia" w:ascii="仿宋_GB2312" w:hAnsi="仿宋_GB2312" w:cs="仿宋_GB2312"/>
          <w:color w:val="auto"/>
          <w:sz w:val="32"/>
          <w:szCs w:val="32"/>
          <w:highlight w:val="none"/>
          <w:lang w:val="en-US" w:eastAsia="zh-CN"/>
        </w:rPr>
        <w:t>&gt;=90%；参展全国体育“两博会”及时率=100%。</w:t>
      </w:r>
    </w:p>
    <w:p w14:paraId="7BEB02A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社会效益指标</w:t>
      </w:r>
      <w:r>
        <w:rPr>
          <w:rFonts w:hint="eastAsia" w:ascii="仿宋_GB2312" w:hAnsi="仿宋_GB2312" w:eastAsia="仿宋_GB2312" w:cs="仿宋_GB2312"/>
          <w:color w:val="auto"/>
          <w:sz w:val="32"/>
          <w:szCs w:val="32"/>
          <w:highlight w:val="none"/>
          <w:lang w:val="en-US" w:eastAsia="zh-CN"/>
        </w:rPr>
        <w:t>：促进体育事业发展</w:t>
      </w:r>
      <w:r>
        <w:rPr>
          <w:rFonts w:hint="eastAsia" w:ascii="仿宋_GB2312" w:hAnsi="仿宋_GB2312" w:cs="仿宋_GB2312"/>
          <w:color w:val="auto"/>
          <w:sz w:val="32"/>
          <w:szCs w:val="32"/>
          <w:highlight w:val="none"/>
          <w:lang w:val="en-US" w:eastAsia="zh-CN"/>
        </w:rPr>
        <w:t>有效促进。</w:t>
      </w:r>
    </w:p>
    <w:p w14:paraId="79E7E6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w:t>
      </w:r>
      <w:r>
        <w:rPr>
          <w:rFonts w:hint="eastAsia" w:ascii="仿宋_GB2312" w:hAnsi="仿宋_GB2312" w:cs="仿宋_GB2312"/>
          <w:color w:val="auto"/>
          <w:sz w:val="32"/>
          <w:szCs w:val="32"/>
          <w:highlight w:val="none"/>
          <w:lang w:val="en-US" w:eastAsia="zh-CN"/>
        </w:rPr>
        <w:t>基本</w:t>
      </w:r>
      <w:r>
        <w:rPr>
          <w:rFonts w:hint="eastAsia" w:ascii="仿宋_GB2312" w:hAnsi="仿宋_GB2312" w:eastAsia="仿宋_GB2312" w:cs="仿宋_GB2312"/>
          <w:color w:val="auto"/>
          <w:sz w:val="32"/>
          <w:szCs w:val="32"/>
          <w:highlight w:val="none"/>
          <w:lang w:val="en-US" w:eastAsia="zh-CN"/>
        </w:rPr>
        <w:t>完成。</w:t>
      </w:r>
    </w:p>
    <w:p w14:paraId="110BA6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48FB4BB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41DBC01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3C694FC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7D493173">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（二）过程情况分析</w:t>
      </w:r>
    </w:p>
    <w:p w14:paraId="59CE8A1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项目过程指标由2个二级指标和5个三级指标构成，该项满分为20分，得分</w:t>
      </w:r>
      <w:r>
        <w:rPr>
          <w:rFonts w:hint="eastAsia" w:ascii="仿宋_GB2312" w:hAnsi="仿宋_GB2312" w:cs="仿宋_GB2312"/>
          <w:color w:val="auto"/>
          <w:sz w:val="32"/>
          <w:szCs w:val="32"/>
          <w:highlight w:val="none"/>
          <w:lang w:val="en-US" w:eastAsia="zh-CN"/>
        </w:rPr>
        <w:t>19</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95</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24EFE2B7">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w:t>
      </w:r>
      <w:r>
        <w:rPr>
          <w:rFonts w:hint="eastAsia" w:ascii="仿宋_GB2312"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lang w:val="en-US" w:eastAsia="zh-CN"/>
        </w:rPr>
        <w:t>分）</w:t>
      </w:r>
    </w:p>
    <w:p w14:paraId="6B8F8C1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6095C69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en-US" w:eastAsia="zh-CN"/>
        </w:rPr>
        <w:t>万元，资金到位率100%。</w:t>
      </w:r>
    </w:p>
    <w:p w14:paraId="73B5E5B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4C0F8C9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145</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126</w:t>
      </w:r>
      <w:r>
        <w:rPr>
          <w:rFonts w:hint="eastAsia" w:ascii="仿宋_GB2312" w:hAnsi="仿宋_GB2312" w:eastAsia="仿宋_GB2312" w:cs="仿宋_GB2312"/>
          <w:color w:val="auto"/>
          <w:sz w:val="32"/>
          <w:szCs w:val="32"/>
          <w:highlight w:val="none"/>
          <w:lang w:val="en-US" w:eastAsia="zh-CN"/>
        </w:rPr>
        <w:t>万元，预算执行率</w:t>
      </w:r>
      <w:r>
        <w:rPr>
          <w:rFonts w:hint="eastAsia" w:ascii="仿宋_GB2312" w:hAnsi="仿宋_GB2312" w:cs="仿宋_GB2312"/>
          <w:color w:val="auto"/>
          <w:sz w:val="32"/>
          <w:szCs w:val="32"/>
          <w:highlight w:val="none"/>
          <w:lang w:val="en-US" w:eastAsia="zh-CN"/>
        </w:rPr>
        <w:t>86.90</w:t>
      </w:r>
      <w:r>
        <w:rPr>
          <w:rFonts w:hint="eastAsia" w:ascii="仿宋_GB2312" w:hAnsi="仿宋_GB2312" w:eastAsia="仿宋_GB2312" w:cs="仿宋_GB2312"/>
          <w:color w:val="auto"/>
          <w:sz w:val="32"/>
          <w:szCs w:val="32"/>
          <w:highlight w:val="none"/>
          <w:lang w:val="en-US" w:eastAsia="zh-CN"/>
        </w:rPr>
        <w:t>%。</w:t>
      </w:r>
    </w:p>
    <w:p w14:paraId="0F6F54A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412157E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4A3FA4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5CC1C2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0CB028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22EE443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0D6B53D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47FC5DA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5D22E92B">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（三）产出情况分析</w:t>
      </w:r>
    </w:p>
    <w:p w14:paraId="5C8415B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和</w:t>
      </w:r>
      <w:r>
        <w:rPr>
          <w:rFonts w:hint="eastAsia" w:ascii="仿宋_GB2312" w:hAnsi="仿宋_GB2312" w:eastAsia="仿宋_GB2312" w:cs="仿宋_GB2312"/>
          <w:color w:val="auto"/>
          <w:sz w:val="32"/>
          <w:szCs w:val="32"/>
          <w:highlight w:val="none"/>
          <w:lang w:val="en-US" w:eastAsia="zh-CN"/>
        </w:rPr>
        <w:t>产出时效</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2BD98BB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分）</w:t>
      </w:r>
    </w:p>
    <w:p w14:paraId="23BA6CB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w:t>
      </w:r>
      <w:r>
        <w:rPr>
          <w:rFonts w:hint="eastAsia" w:ascii="仿宋_GB2312" w:hAnsi="仿宋_GB2312" w:cs="仿宋_GB2312"/>
          <w:color w:val="auto"/>
          <w:sz w:val="32"/>
          <w:szCs w:val="32"/>
          <w:highlight w:val="none"/>
          <w:lang w:val="en-US" w:eastAsia="zh-CN"/>
        </w:rPr>
        <w:t>开展全区体育产业名录库维护项目次数</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＞=1次</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1次</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w:t>
      </w:r>
    </w:p>
    <w:p w14:paraId="34240853">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指标2：开展全区体育赛事活动的次数，指标值：＞=4次，实际完成值4次，指标完成率100%。</w:t>
      </w:r>
    </w:p>
    <w:p w14:paraId="4724BAE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指标3：参展全国体育“两博会”次数</w:t>
      </w:r>
      <w:r>
        <w:rPr>
          <w:rFonts w:hint="eastAsia" w:ascii="仿宋_GB2312" w:hAnsi="仿宋_GB2312" w:cs="仿宋_GB2312"/>
          <w:color w:val="auto"/>
          <w:sz w:val="32"/>
          <w:szCs w:val="32"/>
          <w:highlight w:val="none"/>
          <w:lang w:val="en-US" w:eastAsia="zh-CN"/>
        </w:rPr>
        <w:t>，指标值：＞=1次，实际完成值1次，指标完成率100%。</w:t>
      </w:r>
    </w:p>
    <w:p w14:paraId="00BD8BE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产出质量分析（得分</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分）</w:t>
      </w:r>
    </w:p>
    <w:p w14:paraId="07BB5BB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质量指标：指标1：体育产业名录库数据填报完成率，指标值：＞=90%，实际完成值90%，指标完成率100%。</w:t>
      </w:r>
    </w:p>
    <w:p w14:paraId="6A5998C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指标2：赛事完成率，指标值：=100%，实际完成值100%，指标完成率100%。</w:t>
      </w:r>
    </w:p>
    <w:p w14:paraId="23DFB62F">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产出时效分析（得分</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分）</w:t>
      </w:r>
    </w:p>
    <w:p w14:paraId="5379023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时效指标：指标1：全区体育产业名录库维护工作按时完成率，指标值：＞=90%，实际完成值100%，指标完成率100%。</w:t>
      </w:r>
    </w:p>
    <w:p w14:paraId="5A5ACAD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指标2：参展全国体育“两博会”及时率，指标值：＞=100%，实际完成值100%，指标完成率100%。</w:t>
      </w:r>
    </w:p>
    <w:p w14:paraId="185D5D74">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eastAsia" w:ascii="仿宋" w:hAnsi="仿宋" w:eastAsia="仿宋" w:cs="仿宋"/>
          <w:b/>
          <w:bCs/>
          <w:sz w:val="32"/>
          <w:szCs w:val="32"/>
          <w:highlight w:val="none"/>
          <w:lang w:val="zh-TW" w:eastAsia="zh-TW"/>
        </w:rPr>
      </w:pP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四</w:t>
      </w: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成本</w:t>
      </w:r>
      <w:r>
        <w:rPr>
          <w:rFonts w:hint="eastAsia" w:ascii="仿宋" w:hAnsi="仿宋" w:eastAsia="仿宋" w:cs="仿宋"/>
          <w:b/>
          <w:bCs/>
          <w:sz w:val="32"/>
          <w:szCs w:val="32"/>
          <w:highlight w:val="none"/>
          <w:lang w:val="zh-TW" w:eastAsia="zh-TW"/>
        </w:rPr>
        <w:t>情况分析</w:t>
      </w:r>
    </w:p>
    <w:p w14:paraId="3F6F26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zh-TW" w:eastAsia="zh-TW"/>
        </w:rPr>
        <w:t>项目</w:t>
      </w:r>
      <w:r>
        <w:rPr>
          <w:rFonts w:hint="eastAsia" w:ascii="仿宋_GB2312" w:hAnsi="仿宋_GB2312" w:eastAsia="仿宋_GB2312" w:cs="仿宋_GB2312"/>
          <w:color w:val="auto"/>
          <w:sz w:val="32"/>
          <w:szCs w:val="32"/>
          <w:highlight w:val="none"/>
          <w:lang w:val="en-US" w:eastAsia="zh-CN"/>
        </w:rPr>
        <w:t>成本共1个二级指标</w:t>
      </w:r>
      <w:r>
        <w:rPr>
          <w:rFonts w:hint="eastAsia" w:ascii="仿宋_GB2312" w:hAnsi="仿宋_GB2312" w:eastAsia="仿宋_GB2312" w:cs="仿宋_GB2312"/>
          <w:color w:val="auto"/>
          <w:sz w:val="32"/>
          <w:szCs w:val="32"/>
          <w:highlight w:val="none"/>
          <w:lang w:val="zh-TW" w:eastAsia="zh-TW"/>
        </w:rPr>
        <w:t>。该项满分为</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分，得分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分，得分率</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p>
    <w:p w14:paraId="4C94454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1、成本指标分析（得分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en-US" w:eastAsia="zh-CN"/>
        </w:rPr>
        <w:t>分）</w:t>
      </w:r>
    </w:p>
    <w:p w14:paraId="7835681E">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经济成本指标：无此项指标。</w:t>
      </w:r>
    </w:p>
    <w:p w14:paraId="3200B4F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社会成本指标：无此项指标。</w:t>
      </w:r>
    </w:p>
    <w:p w14:paraId="4DC547B3">
      <w:pPr>
        <w:pStyle w:val="2"/>
        <w:ind w:firstLine="640" w:firstLineChars="200"/>
        <w:rPr>
          <w:rFonts w:hint="eastAsia" w:ascii="仿宋" w:hAnsi="仿宋" w:eastAsia="仿宋" w:cs="仿宋"/>
          <w:b/>
          <w:bCs/>
          <w:sz w:val="32"/>
          <w:szCs w:val="32"/>
          <w:highlight w:val="none"/>
          <w:lang w:val="zh-TW" w:eastAsia="zh-CN"/>
        </w:rPr>
      </w:pPr>
      <w:r>
        <w:rPr>
          <w:rFonts w:hint="eastAsia" w:ascii="仿宋_GB2312" w:hAnsi="仿宋_GB2312" w:eastAsia="仿宋_GB2312" w:cs="仿宋_GB2312"/>
          <w:color w:val="auto"/>
          <w:sz w:val="32"/>
          <w:szCs w:val="32"/>
          <w:highlight w:val="none"/>
          <w:lang w:val="en-US" w:eastAsia="zh-CN"/>
        </w:rPr>
        <w:t>生态环境成本指标：无此项指标。</w:t>
      </w:r>
    </w:p>
    <w:p w14:paraId="059DA669">
      <w:pPr>
        <w:keepLines w:val="0"/>
        <w:pageBreakBefore w:val="0"/>
        <w:kinsoku/>
        <w:wordWrap/>
        <w:overflowPunct/>
        <w:topLinePunct w:val="0"/>
        <w:autoSpaceDE/>
        <w:autoSpaceDN/>
        <w:bidi w:val="0"/>
        <w:adjustRightInd/>
        <w:snapToGrid/>
        <w:spacing w:line="560" w:lineRule="exact"/>
        <w:ind w:left="0" w:right="0" w:rightChars="0" w:firstLine="643" w:firstLineChars="200"/>
        <w:textAlignment w:val="auto"/>
        <w:outlineLvl w:val="0"/>
        <w:rPr>
          <w:rFonts w:hint="eastAsia" w:ascii="仿宋" w:hAnsi="仿宋" w:eastAsia="仿宋" w:cs="仿宋"/>
          <w:b/>
          <w:bCs/>
          <w:sz w:val="32"/>
          <w:szCs w:val="32"/>
          <w:highlight w:val="none"/>
          <w:lang w:val="zh-TW" w:eastAsia="zh-CN"/>
        </w:rPr>
      </w:pPr>
      <w:r>
        <w:rPr>
          <w:rFonts w:hint="eastAsia" w:ascii="仿宋" w:hAnsi="仿宋" w:eastAsia="仿宋" w:cs="仿宋"/>
          <w:b/>
          <w:bCs/>
          <w:sz w:val="32"/>
          <w:szCs w:val="32"/>
          <w:highlight w:val="none"/>
          <w:lang w:val="zh-TW" w:eastAsia="zh-CN"/>
        </w:rPr>
        <w:t>（</w:t>
      </w:r>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lang w:val="zh-TW" w:eastAsia="zh-CN"/>
        </w:rPr>
        <w:t>项目效益情况</w:t>
      </w:r>
    </w:p>
    <w:p w14:paraId="1FC186BC">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包括实施效益</w:t>
      </w: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00D0AC34">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w:t>
      </w:r>
    </w:p>
    <w:p w14:paraId="07CD931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经济效益指标：</w:t>
      </w:r>
      <w:r>
        <w:rPr>
          <w:rFonts w:hint="eastAsia" w:ascii="仿宋_GB2312" w:hAnsi="仿宋_GB2312" w:cs="仿宋_GB2312"/>
          <w:color w:val="auto"/>
          <w:sz w:val="32"/>
          <w:szCs w:val="32"/>
          <w:highlight w:val="none"/>
          <w:lang w:val="en-US" w:eastAsia="zh-CN"/>
        </w:rPr>
        <w:t>无此项指标。</w:t>
      </w:r>
    </w:p>
    <w:p w14:paraId="1F728D8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社会效益指标：指标1：</w:t>
      </w:r>
      <w:r>
        <w:rPr>
          <w:rFonts w:hint="eastAsia" w:ascii="仿宋_GB2312" w:hAnsi="仿宋_GB2312" w:cs="仿宋_GB2312"/>
          <w:color w:val="auto"/>
          <w:sz w:val="32"/>
          <w:szCs w:val="32"/>
          <w:highlight w:val="none"/>
          <w:lang w:val="en-US" w:eastAsia="zh-CN"/>
        </w:rPr>
        <w:t>促进体育事业发展</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有效促进</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基本达成目标</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7162B19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14:paraId="39814AA8">
      <w:pPr>
        <w:pStyle w:val="5"/>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1F159E1A">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en-US" w:eastAsia="zh-CN"/>
        </w:rPr>
        <w:t>分）</w:t>
      </w:r>
    </w:p>
    <w:p w14:paraId="787BE54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满意度指标：</w:t>
      </w:r>
      <w:r>
        <w:rPr>
          <w:rFonts w:hint="eastAsia" w:ascii="仿宋_GB2312" w:hAnsi="仿宋_GB2312" w:cs="仿宋_GB2312"/>
          <w:color w:val="auto"/>
          <w:sz w:val="32"/>
          <w:szCs w:val="32"/>
          <w:highlight w:val="none"/>
          <w:lang w:val="en-US" w:eastAsia="zh-CN"/>
        </w:rPr>
        <w:t>无此项指标。</w:t>
      </w:r>
    </w:p>
    <w:p w14:paraId="1EEF29AC">
      <w:pPr>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00" w:firstLineChars="200"/>
        <w:textAlignment w:val="auto"/>
        <w:rPr>
          <w:rFonts w:hint="eastAsia" w:ascii="黑体" w:hAnsi="黑体" w:eastAsia="黑体"/>
          <w:highlight w:val="none"/>
        </w:rPr>
      </w:pPr>
      <w:r>
        <w:rPr>
          <w:rFonts w:hint="eastAsia" w:ascii="黑体" w:hAnsi="黑体" w:eastAsia="黑体"/>
          <w:highlight w:val="none"/>
          <w:lang w:val="en-US" w:eastAsia="zh-CN"/>
        </w:rPr>
        <w:t>五、</w:t>
      </w:r>
      <w:r>
        <w:rPr>
          <w:rFonts w:hint="eastAsia" w:ascii="黑体" w:hAnsi="黑体" w:eastAsia="黑体"/>
          <w:highlight w:val="none"/>
        </w:rPr>
        <w:t>主要经验及做法、存在的问题及原因分析</w:t>
      </w:r>
    </w:p>
    <w:p w14:paraId="3DAF8DAA">
      <w:pPr>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14:paraId="04D53743">
      <w:pPr>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2025年，在推进体育产业事业规划相关业务专项工作中，我们立足新疆体育产业发展实际，紧扣政策落地与产业赋能核心目标，积累了扎实有效的工作经验和做法。首先，强化组织领导与责任落实，单位主要领导亲自部署、靠前指挥，明确专人负责项目统筹协调，从名录库维护的数据审核到赛事活动的方案制定，再到“两博会”参展的筹备组织，每个环节均细化责任分工，确保各项工作有序推进、高效落地。其次，在赛事活动组织中，坚持“示范引领、群众参与”原则，结合新疆地域特色与群众需求，精心策划赛事内容，既保证赛事专业性，又注重活动的普惠性，有效激发了群众参与体育运动的热情。再次，严格经费管理与监督，依据年初设定的绩效目标，科学编制经费预算，严格执行财务管理制度，坚持“专款专用、节约高效”原则，对经费使用全过程进行跟踪监督，确保每笔支出合规透明，为项目顺利实施提供坚实保障。</w:t>
      </w:r>
    </w:p>
    <w:p w14:paraId="21174E1D">
      <w:pPr>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0"/>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2、存在的问题</w:t>
      </w:r>
    </w:p>
    <w:p w14:paraId="29957A6B">
      <w:pPr>
        <w:keepLines w:val="0"/>
        <w:pageBreakBefore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当前，我区体育产业虽呈现良好发展态势，但仍面临产业结构不优、市场主体不强、消费潜力挖掘不足等深层次矛盾。产业基础依然薄弱，体育服务业占比偏低，缺乏具有核心竞争力的龙头企业和知名品牌，产业链条短，抗风险能力较弱</w:t>
      </w:r>
      <w:r>
        <w:rPr>
          <w:rFonts w:hint="eastAsia" w:ascii="仿宋_GB2312" w:hAnsi="仿宋_GB2312" w:cs="仿宋_GB2312"/>
          <w:color w:val="auto"/>
          <w:sz w:val="32"/>
          <w:szCs w:val="32"/>
          <w:highlight w:val="none"/>
          <w:lang w:val="en-US" w:eastAsia="zh-CN"/>
        </w:rPr>
        <w:t>。</w:t>
      </w:r>
    </w:p>
    <w:p w14:paraId="4B6147BA">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有关建议</w:t>
      </w:r>
    </w:p>
    <w:p w14:paraId="6326FAD3">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建议进一步强化政策引领与要素保障，加大体育产业复合型人才培养与引进力度，夯实产业发展根基；同时深化“体育+文旅”融合发展，着力培育本土龙头企业与精品赛事品牌，延伸产业链条，推动体育产业向规模化、专业化、高质量发展迈进。</w:t>
      </w:r>
    </w:p>
    <w:p w14:paraId="1B47F2EF">
      <w:pPr>
        <w:keepNext w:val="0"/>
        <w:keepLines w:val="0"/>
        <w:pageBreakBefore w:val="0"/>
        <w:numPr>
          <w:ilvl w:val="0"/>
          <w:numId w:val="0"/>
        </w:numPr>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60837F52">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p w14:paraId="46BB7003">
      <w:pPr>
        <w:keepLines w:val="0"/>
        <w:pageBreakBefore w:val="0"/>
        <w:kinsoku/>
        <w:wordWrap/>
        <w:overflowPunct/>
        <w:topLinePunct w:val="0"/>
        <w:autoSpaceDE/>
        <w:autoSpaceDN/>
        <w:bidi w:val="0"/>
        <w:adjustRightInd/>
        <w:snapToGrid/>
        <w:spacing w:line="600" w:lineRule="exact"/>
        <w:ind w:left="0" w:leftChars="0" w:right="0" w:rightChars="0" w:firstLine="600" w:firstLineChars="200"/>
        <w:textAlignment w:val="auto"/>
        <w:rPr>
          <w:highlight w:val="none"/>
        </w:rPr>
      </w:pPr>
    </w:p>
    <w:p w14:paraId="685A088F">
      <w:pPr>
        <w:keepLines w:val="0"/>
        <w:pageBreakBefore w:val="0"/>
        <w:kinsoku/>
        <w:wordWrap/>
        <w:overflowPunct/>
        <w:topLinePunct w:val="0"/>
        <w:autoSpaceDE/>
        <w:autoSpaceDN/>
        <w:bidi w:val="0"/>
        <w:adjustRightInd/>
        <w:snapToGrid/>
        <w:ind w:left="0" w:right="0" w:rightChars="0" w:firstLine="600" w:firstLineChars="200"/>
        <w:textAlignment w:val="auto"/>
      </w:pPr>
    </w:p>
    <w:p w14:paraId="539F371C"/>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73425"/>
    <w:rsid w:val="0E7B6CC7"/>
    <w:rsid w:val="194F322A"/>
    <w:rsid w:val="1B2A71C1"/>
    <w:rsid w:val="232E7950"/>
    <w:rsid w:val="23EA6B2E"/>
    <w:rsid w:val="2C6E0C96"/>
    <w:rsid w:val="36A95161"/>
    <w:rsid w:val="44073425"/>
    <w:rsid w:val="4AE7656F"/>
    <w:rsid w:val="57992B0A"/>
    <w:rsid w:val="59554FEC"/>
    <w:rsid w:val="61201A4D"/>
    <w:rsid w:val="6200643D"/>
    <w:rsid w:val="67EE31DB"/>
    <w:rsid w:val="6C046325"/>
    <w:rsid w:val="6C9A748E"/>
    <w:rsid w:val="6DEA53BF"/>
    <w:rsid w:val="78B418D7"/>
    <w:rsid w:val="78DA7590"/>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Cambria" w:hAnsi="Cambria"/>
      <w:b/>
      <w:bCs/>
      <w:kern w:val="0"/>
      <w:szCs w:val="2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Normal Indent1"/>
    <w:next w:val="1"/>
    <w:qFormat/>
    <w:uiPriority w:val="0"/>
    <w:pPr>
      <w:widowControl w:val="0"/>
      <w:autoSpaceDE w:val="0"/>
      <w:autoSpaceDN w:val="0"/>
      <w:adjustRightInd w:val="0"/>
      <w:spacing w:line="590" w:lineRule="atLeast"/>
      <w:jc w:val="left"/>
    </w:pPr>
    <w:rPr>
      <w:rFonts w:ascii="Times New Roman" w:hAnsi="Times New Roman" w:eastAsia="宋体" w:cs="Times New Roman"/>
      <w:kern w:val="2"/>
      <w:sz w:val="21"/>
      <w:szCs w:val="24"/>
      <w:lang w:val="en-US" w:eastAsia="zh-CN" w:bidi="ar-SA"/>
    </w:rPr>
  </w:style>
  <w:style w:type="paragraph" w:styleId="4">
    <w:name w:val="annotation text"/>
    <w:basedOn w:val="1"/>
    <w:qFormat/>
    <w:uiPriority w:val="0"/>
    <w:pPr>
      <w:jc w:val="left"/>
    </w:pPr>
  </w:style>
  <w:style w:type="paragraph" w:styleId="5">
    <w:name w:val="Body Text Indent 2"/>
    <w:basedOn w:val="1"/>
    <w:qFormat/>
    <w:uiPriority w:val="0"/>
    <w:pPr>
      <w:spacing w:line="480" w:lineRule="auto"/>
      <w:ind w:left="420" w:leftChars="200"/>
    </w:p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6407</Words>
  <Characters>6647</Characters>
  <Lines>0</Lines>
  <Paragraphs>0</Paragraphs>
  <TotalTime>16</TotalTime>
  <ScaleCrop>false</ScaleCrop>
  <LinksUpToDate>false</LinksUpToDate>
  <CharactersWithSpaces>6655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2026-03-18T08:30:00Z</dcterms:created>
  <dc:creator>Pari</dc:creator>
  <cp:lastModifiedBy>左先生</cp:lastModifiedBy>
  <dcterms:modified xsi:type="dcterms:W3CDTF">2026-03-23T04:35:08Z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37B4E65A2298449DAC16FCC14372F667_11</vt:lpwstr>
  </property>
  <property fmtid="{D5CDD505-2E9C-101B-9397-08002B2CF9AE}" pid="4" name="KSOTemplateDocerSaveRecord">
    <vt:lpwstr>eyJoZGlkIjoiNDViN2Y4ODlkMDA0YmMxNGIwZWQzNjA4YTFjYmU5YmIiLCJ1c2VySWQiOiIzMTUyMzYyMTYifQ==</vt:lpwstr>
  </property>
</Properties>
</file>