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480AF">
      <w:pPr>
        <w:pageBreakBefore w:val="0"/>
        <w:kinsoku/>
        <w:wordWrap/>
        <w:overflowPunct/>
        <w:topLinePunct w:val="0"/>
        <w:autoSpaceDE/>
        <w:autoSpaceDN/>
        <w:bidi w:val="0"/>
        <w:adjustRightInd/>
        <w:snapToGrid/>
        <w:spacing w:line="600" w:lineRule="exact"/>
        <w:ind w:leftChars="0"/>
        <w:jc w:val="center"/>
        <w:textAlignment w:val="auto"/>
        <w:rPr>
          <w:rFonts w:hint="eastAsia" w:ascii="仿宋_GB2312" w:hAnsi="仿宋_GB2312" w:eastAsia="仿宋_GB2312" w:cs="仿宋_GB2312"/>
          <w:b w:val="0"/>
          <w:bCs w:val="0"/>
          <w:sz w:val="32"/>
          <w:szCs w:val="32"/>
          <w:highlight w:val="none"/>
        </w:rPr>
      </w:pPr>
    </w:p>
    <w:p w14:paraId="1D4ECF5E">
      <w:pPr>
        <w:pageBreakBefore w:val="0"/>
        <w:kinsoku/>
        <w:wordWrap/>
        <w:overflowPunct/>
        <w:topLinePunct w:val="0"/>
        <w:autoSpaceDE/>
        <w:autoSpaceDN/>
        <w:bidi w:val="0"/>
        <w:adjustRightInd/>
        <w:snapToGrid/>
        <w:spacing w:line="600" w:lineRule="exact"/>
        <w:ind w:leftChars="0"/>
        <w:jc w:val="center"/>
        <w:textAlignment w:val="auto"/>
        <w:rPr>
          <w:rFonts w:hint="eastAsia" w:ascii="仿宋_GB2312" w:hAnsi="仿宋_GB2312" w:eastAsia="仿宋_GB2312" w:cs="仿宋_GB2312"/>
          <w:b w:val="0"/>
          <w:bCs w:val="0"/>
          <w:sz w:val="32"/>
          <w:szCs w:val="32"/>
          <w:highlight w:val="none"/>
        </w:rPr>
      </w:pPr>
    </w:p>
    <w:p w14:paraId="7AB6EB4C">
      <w:pPr>
        <w:pageBreakBefore w:val="0"/>
        <w:kinsoku/>
        <w:wordWrap/>
        <w:overflowPunct/>
        <w:topLinePunct w:val="0"/>
        <w:autoSpaceDE/>
        <w:autoSpaceDN/>
        <w:bidi w:val="0"/>
        <w:adjustRightInd/>
        <w:snapToGrid/>
        <w:spacing w:line="600" w:lineRule="exact"/>
        <w:ind w:leftChars="0"/>
        <w:jc w:val="center"/>
        <w:textAlignment w:val="auto"/>
        <w:rPr>
          <w:rFonts w:hint="eastAsia" w:ascii="仿宋_GB2312" w:hAnsi="仿宋_GB2312" w:eastAsia="仿宋_GB2312" w:cs="仿宋_GB2312"/>
          <w:b w:val="0"/>
          <w:bCs w:val="0"/>
          <w:sz w:val="32"/>
          <w:szCs w:val="32"/>
          <w:highlight w:val="none"/>
        </w:rPr>
      </w:pPr>
    </w:p>
    <w:p w14:paraId="7588AAC1">
      <w:pPr>
        <w:pageBreakBefore w:val="0"/>
        <w:kinsoku/>
        <w:wordWrap/>
        <w:overflowPunct/>
        <w:topLinePunct w:val="0"/>
        <w:autoSpaceDE/>
        <w:autoSpaceDN/>
        <w:bidi w:val="0"/>
        <w:adjustRightInd/>
        <w:snapToGrid/>
        <w:spacing w:line="600" w:lineRule="exact"/>
        <w:ind w:leftChars="0"/>
        <w:jc w:val="center"/>
        <w:textAlignment w:val="auto"/>
        <w:rPr>
          <w:rFonts w:hint="eastAsia" w:ascii="仿宋_GB2312" w:hAnsi="仿宋_GB2312" w:eastAsia="仿宋_GB2312" w:cs="仿宋_GB2312"/>
          <w:b w:val="0"/>
          <w:bCs w:val="0"/>
          <w:sz w:val="32"/>
          <w:szCs w:val="32"/>
          <w:highlight w:val="none"/>
        </w:rPr>
      </w:pPr>
    </w:p>
    <w:p w14:paraId="71F6661A">
      <w:pPr>
        <w:pageBreakBefore w:val="0"/>
        <w:kinsoku/>
        <w:wordWrap/>
        <w:overflowPunct/>
        <w:topLinePunct w:val="0"/>
        <w:autoSpaceDE/>
        <w:autoSpaceDN/>
        <w:bidi w:val="0"/>
        <w:adjustRightInd/>
        <w:snapToGrid/>
        <w:spacing w:line="600" w:lineRule="exact"/>
        <w:ind w:leftChars="0"/>
        <w:jc w:val="center"/>
        <w:textAlignment w:val="auto"/>
        <w:rPr>
          <w:rFonts w:hint="eastAsia" w:ascii="仿宋_GB2312" w:hAnsi="仿宋_GB2312" w:eastAsia="仿宋_GB2312" w:cs="仿宋_GB2312"/>
          <w:b w:val="0"/>
          <w:bCs w:val="0"/>
          <w:sz w:val="32"/>
          <w:szCs w:val="32"/>
          <w:highlight w:val="none"/>
        </w:rPr>
      </w:pPr>
    </w:p>
    <w:p w14:paraId="44AB3C16">
      <w:pPr>
        <w:pageBreakBefore w:val="0"/>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b/>
          <w:bCs/>
          <w:sz w:val="44"/>
          <w:szCs w:val="44"/>
          <w:highlight w:val="none"/>
        </w:rPr>
        <w:t>项目支出绩效评价报告</w:t>
      </w:r>
    </w:p>
    <w:p w14:paraId="4A60F0CF">
      <w:pPr>
        <w:pageBreakBefore w:val="0"/>
        <w:kinsoku/>
        <w:wordWrap/>
        <w:overflowPunct/>
        <w:topLinePunct w:val="0"/>
        <w:autoSpaceDE/>
        <w:autoSpaceDN/>
        <w:bidi w:val="0"/>
        <w:adjustRightInd/>
        <w:snapToGrid/>
        <w:spacing w:line="600" w:lineRule="exact"/>
        <w:ind w:leftChars="0"/>
        <w:jc w:val="center"/>
        <w:textAlignment w:val="auto"/>
        <w:rPr>
          <w:rFonts w:hint="eastAsia" w:ascii="Times New Roman" w:hAnsi="宋体" w:cs="宋体"/>
          <w:color w:val="auto"/>
          <w:kern w:val="0"/>
          <w:sz w:val="36"/>
          <w:szCs w:val="36"/>
          <w:highlight w:val="none"/>
          <w:lang w:eastAsia="zh-CN"/>
        </w:rPr>
      </w:pPr>
      <w:r>
        <w:rPr>
          <w:rFonts w:hint="eastAsia" w:ascii="Times New Roman" w:hAnsi="宋体" w:cs="宋体"/>
          <w:color w:val="auto"/>
          <w:kern w:val="0"/>
          <w:sz w:val="36"/>
          <w:szCs w:val="36"/>
          <w:highlight w:val="none"/>
          <w:lang w:eastAsia="zh-CN"/>
        </w:rPr>
        <w:t>（</w:t>
      </w:r>
      <w:r>
        <w:rPr>
          <w:rFonts w:hint="eastAsia" w:ascii="Times New Roman" w:hAnsi="宋体" w:cs="宋体"/>
          <w:color w:val="auto"/>
          <w:kern w:val="0"/>
          <w:sz w:val="36"/>
          <w:szCs w:val="36"/>
          <w:highlight w:val="none"/>
          <w:lang w:val="en-US" w:eastAsia="zh-CN"/>
        </w:rPr>
        <w:t>202</w:t>
      </w:r>
      <w:r>
        <w:rPr>
          <w:rFonts w:hint="eastAsia" w:hAnsi="宋体" w:cs="宋体"/>
          <w:color w:val="auto"/>
          <w:kern w:val="0"/>
          <w:sz w:val="36"/>
          <w:szCs w:val="36"/>
          <w:highlight w:val="none"/>
          <w:lang w:val="en-US" w:eastAsia="zh-CN"/>
        </w:rPr>
        <w:t>5</w:t>
      </w:r>
      <w:r>
        <w:rPr>
          <w:rFonts w:hint="eastAsia" w:ascii="Times New Roman" w:hAnsi="宋体" w:cs="宋体"/>
          <w:color w:val="auto"/>
          <w:kern w:val="0"/>
          <w:sz w:val="36"/>
          <w:szCs w:val="36"/>
          <w:highlight w:val="none"/>
          <w:lang w:val="en-US" w:eastAsia="zh-CN"/>
        </w:rPr>
        <w:t>年度</w:t>
      </w:r>
      <w:r>
        <w:rPr>
          <w:rFonts w:hint="eastAsia" w:ascii="Times New Roman" w:hAnsi="宋体" w:cs="宋体"/>
          <w:color w:val="auto"/>
          <w:kern w:val="0"/>
          <w:sz w:val="36"/>
          <w:szCs w:val="36"/>
          <w:highlight w:val="none"/>
          <w:lang w:eastAsia="zh-CN"/>
        </w:rPr>
        <w:t>）</w:t>
      </w:r>
    </w:p>
    <w:p w14:paraId="1F7AB263">
      <w:pPr>
        <w:pStyle w:val="2"/>
        <w:rPr>
          <w:rFonts w:hint="eastAsia" w:ascii="仿宋_GB2312" w:hAnsi="仿宋_GB2312" w:eastAsia="仿宋_GB2312" w:cs="仿宋_GB2312"/>
          <w:b w:val="0"/>
          <w:bCs w:val="0"/>
          <w:color w:val="auto"/>
          <w:kern w:val="0"/>
          <w:sz w:val="32"/>
          <w:szCs w:val="32"/>
          <w:highlight w:val="none"/>
          <w:lang w:eastAsia="zh-CN"/>
        </w:rPr>
      </w:pPr>
    </w:p>
    <w:p w14:paraId="5B37ADB9">
      <w:pPr>
        <w:pStyle w:val="2"/>
        <w:rPr>
          <w:rFonts w:hint="eastAsia" w:ascii="仿宋_GB2312" w:hAnsi="仿宋_GB2312" w:eastAsia="仿宋_GB2312" w:cs="仿宋_GB2312"/>
          <w:b w:val="0"/>
          <w:bCs w:val="0"/>
          <w:sz w:val="32"/>
          <w:szCs w:val="32"/>
          <w:highlight w:val="none"/>
          <w:lang w:eastAsia="zh-CN"/>
        </w:rPr>
      </w:pPr>
    </w:p>
    <w:p w14:paraId="25C62AAF">
      <w:pPr>
        <w:ind w:left="4320" w:right="750" w:rightChars="250" w:hanging="3840" w:hangingChars="1200"/>
        <w:jc w:val="both"/>
        <w:outlineLvl w:val="0"/>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rPr>
        <w:t>项目名称：</w:t>
      </w:r>
      <w:r>
        <w:rPr>
          <w:rFonts w:hint="eastAsia" w:ascii="仿宋_GB2312" w:hAnsi="仿宋_GB2312" w:eastAsia="仿宋_GB2312" w:cs="仿宋_GB2312"/>
          <w:b w:val="0"/>
          <w:bCs w:val="0"/>
          <w:color w:val="auto"/>
          <w:kern w:val="0"/>
          <w:sz w:val="32"/>
          <w:szCs w:val="32"/>
          <w:highlight w:val="none"/>
          <w:lang w:eastAsia="zh-CN"/>
        </w:rPr>
        <w:t>场馆日常维护运转经费项目</w:t>
      </w:r>
    </w:p>
    <w:p w14:paraId="18B1EC90">
      <w:pPr>
        <w:jc w:val="left"/>
        <w:outlineLvl w:val="0"/>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rPr>
        <w:t>实施单位（公章）：</w:t>
      </w:r>
      <w:r>
        <w:rPr>
          <w:rFonts w:hint="eastAsia" w:ascii="仿宋_GB2312" w:hAnsi="仿宋_GB2312" w:eastAsia="仿宋_GB2312" w:cs="仿宋_GB2312"/>
          <w:b w:val="0"/>
          <w:bCs w:val="0"/>
          <w:color w:val="auto"/>
          <w:kern w:val="0"/>
          <w:sz w:val="32"/>
          <w:szCs w:val="32"/>
          <w:highlight w:val="none"/>
          <w:lang w:val="en-US" w:eastAsia="zh-CN"/>
        </w:rPr>
        <w:t>新疆维吾尔自治区体育中心</w:t>
      </w:r>
    </w:p>
    <w:p w14:paraId="41628B3C">
      <w:pPr>
        <w:ind w:left="4320" w:right="750" w:rightChars="250" w:hanging="3840" w:hangingChars="1200"/>
        <w:jc w:val="both"/>
        <w:outlineLvl w:val="0"/>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rPr>
        <w:t>主管部门（公章）：</w:t>
      </w:r>
      <w:r>
        <w:rPr>
          <w:rFonts w:hint="eastAsia" w:ascii="仿宋_GB2312" w:hAnsi="仿宋_GB2312" w:eastAsia="仿宋_GB2312" w:cs="仿宋_GB2312"/>
          <w:b w:val="0"/>
          <w:bCs w:val="0"/>
          <w:color w:val="auto"/>
          <w:kern w:val="0"/>
          <w:sz w:val="32"/>
          <w:szCs w:val="32"/>
          <w:highlight w:val="none"/>
          <w:lang w:val="en-US" w:eastAsia="zh-CN"/>
        </w:rPr>
        <w:t>新疆维吾尔自</w:t>
      </w:r>
      <w:bookmarkStart w:id="0" w:name="_GoBack"/>
      <w:bookmarkEnd w:id="0"/>
      <w:r>
        <w:rPr>
          <w:rFonts w:hint="eastAsia" w:ascii="仿宋_GB2312" w:hAnsi="仿宋_GB2312" w:eastAsia="仿宋_GB2312" w:cs="仿宋_GB2312"/>
          <w:b w:val="0"/>
          <w:bCs w:val="0"/>
          <w:color w:val="auto"/>
          <w:kern w:val="0"/>
          <w:sz w:val="32"/>
          <w:szCs w:val="32"/>
          <w:highlight w:val="none"/>
          <w:lang w:val="en-US" w:eastAsia="zh-CN"/>
        </w:rPr>
        <w:t>治区体育局</w:t>
      </w:r>
    </w:p>
    <w:p w14:paraId="6110C4ED">
      <w:pPr>
        <w:ind w:left="4320" w:right="750" w:rightChars="250" w:hanging="3840" w:hangingChars="1200"/>
        <w:jc w:val="both"/>
        <w:outlineLvl w:val="0"/>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rPr>
        <w:t>项目负责人（签章）</w:t>
      </w:r>
      <w:r>
        <w:rPr>
          <w:rFonts w:hint="eastAsia" w:ascii="仿宋_GB2312" w:hAnsi="仿宋_GB2312" w:eastAsia="仿宋_GB2312" w:cs="仿宋_GB2312"/>
          <w:b w:val="0"/>
          <w:bCs w:val="0"/>
          <w:color w:val="auto"/>
          <w:kern w:val="0"/>
          <w:sz w:val="32"/>
          <w:szCs w:val="32"/>
          <w:highlight w:val="none"/>
          <w:lang w:val="en-US" w:eastAsia="zh-CN"/>
        </w:rPr>
        <w:t>：</w:t>
      </w:r>
      <w:r>
        <w:rPr>
          <w:rFonts w:hint="eastAsia" w:ascii="仿宋" w:hAnsi="仿宋" w:eastAsia="仿宋" w:cs="仿宋"/>
          <w:color w:val="auto"/>
          <w:kern w:val="0"/>
          <w:sz w:val="32"/>
          <w:szCs w:val="32"/>
          <w:highlight w:val="none"/>
          <w:lang w:val="en-US" w:eastAsia="zh-CN"/>
        </w:rPr>
        <w:t>闫世信</w:t>
      </w:r>
    </w:p>
    <w:p w14:paraId="738BD11C">
      <w:pPr>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填报时间：</w:t>
      </w:r>
      <w:r>
        <w:rPr>
          <w:rFonts w:hint="eastAsia" w:ascii="仿宋_GB2312" w:hAnsi="仿宋_GB2312" w:eastAsia="仿宋_GB2312" w:cs="仿宋_GB2312"/>
          <w:b w:val="0"/>
          <w:bCs w:val="0"/>
          <w:color w:val="auto"/>
          <w:kern w:val="0"/>
          <w:sz w:val="32"/>
          <w:szCs w:val="32"/>
          <w:highlight w:val="none"/>
          <w:lang w:val="en-US" w:eastAsia="zh-CN"/>
        </w:rPr>
        <w:t>202</w:t>
      </w:r>
      <w:r>
        <w:rPr>
          <w:rFonts w:hint="eastAsia" w:ascii="仿宋_GB2312" w:hAnsi="仿宋_GB2312" w:cs="仿宋_GB2312"/>
          <w:b w:val="0"/>
          <w:bCs w:val="0"/>
          <w:color w:val="auto"/>
          <w:kern w:val="0"/>
          <w:sz w:val="32"/>
          <w:szCs w:val="32"/>
          <w:highlight w:val="none"/>
          <w:lang w:val="en-US" w:eastAsia="zh-CN"/>
        </w:rPr>
        <w:t>6</w:t>
      </w:r>
      <w:r>
        <w:rPr>
          <w:rFonts w:hint="eastAsia" w:ascii="仿宋_GB2312" w:hAnsi="仿宋_GB2312" w:eastAsia="仿宋_GB2312" w:cs="仿宋_GB2312"/>
          <w:b w:val="0"/>
          <w:bCs w:val="0"/>
          <w:color w:val="auto"/>
          <w:kern w:val="0"/>
          <w:sz w:val="32"/>
          <w:szCs w:val="32"/>
          <w:highlight w:val="none"/>
        </w:rPr>
        <w:t xml:space="preserve">年 </w:t>
      </w:r>
      <w:r>
        <w:rPr>
          <w:rFonts w:hint="eastAsia" w:ascii="仿宋_GB2312" w:hAnsi="仿宋_GB2312" w:eastAsia="仿宋_GB2312" w:cs="仿宋_GB2312"/>
          <w:b w:val="0"/>
          <w:bCs w:val="0"/>
          <w:color w:val="auto"/>
          <w:kern w:val="0"/>
          <w:sz w:val="32"/>
          <w:szCs w:val="32"/>
          <w:highlight w:val="none"/>
          <w:lang w:val="en-US" w:eastAsia="zh-CN"/>
        </w:rPr>
        <w:t>3</w:t>
      </w:r>
      <w:r>
        <w:rPr>
          <w:rFonts w:hint="eastAsia" w:ascii="仿宋_GB2312" w:hAnsi="仿宋_GB2312" w:eastAsia="仿宋_GB2312" w:cs="仿宋_GB2312"/>
          <w:b w:val="0"/>
          <w:bCs w:val="0"/>
          <w:color w:val="auto"/>
          <w:kern w:val="0"/>
          <w:sz w:val="32"/>
          <w:szCs w:val="32"/>
          <w:highlight w:val="none"/>
        </w:rPr>
        <w:t>月</w:t>
      </w:r>
      <w:r>
        <w:rPr>
          <w:rFonts w:hint="eastAsia" w:ascii="仿宋_GB2312" w:hAnsi="仿宋_GB2312" w:eastAsia="仿宋_GB2312" w:cs="仿宋_GB2312"/>
          <w:b w:val="0"/>
          <w:bCs w:val="0"/>
          <w:color w:val="auto"/>
          <w:kern w:val="0"/>
          <w:sz w:val="32"/>
          <w:szCs w:val="32"/>
          <w:highlight w:val="none"/>
          <w:lang w:val="en-US" w:eastAsia="zh-CN"/>
        </w:rPr>
        <w:t xml:space="preserve">18 </w:t>
      </w:r>
      <w:r>
        <w:rPr>
          <w:rFonts w:hint="eastAsia" w:ascii="仿宋_GB2312" w:hAnsi="仿宋_GB2312" w:eastAsia="仿宋_GB2312" w:cs="仿宋_GB2312"/>
          <w:b w:val="0"/>
          <w:bCs w:val="0"/>
          <w:color w:val="auto"/>
          <w:kern w:val="0"/>
          <w:sz w:val="32"/>
          <w:szCs w:val="32"/>
          <w:highlight w:val="none"/>
        </w:rPr>
        <w:t>日</w:t>
      </w:r>
    </w:p>
    <w:p w14:paraId="5C305CCD">
      <w:pPr>
        <w:pStyle w:val="2"/>
        <w:rPr>
          <w:rFonts w:hint="eastAsia"/>
        </w:rPr>
      </w:pPr>
    </w:p>
    <w:p w14:paraId="5B9C0C4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p>
    <w:p w14:paraId="327F5AA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p>
    <w:p w14:paraId="0E695DC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14:paraId="2AF08EC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（一）项目概况</w:t>
      </w:r>
    </w:p>
    <w:p w14:paraId="7AA74AE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1、项目背景</w:t>
      </w:r>
    </w:p>
    <w:p w14:paraId="7B35D08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习近平新时代中国特色社会主义思想为指导，全面贯彻落实党的二十大关于加快建设体育强国的部署要求，构建更高水平的全民健身公共服务体系是新时代体育工作的重要任务。体育场馆作为全民健身和竞技体育发展的重要硬件载体，其日常维护与正常运转直接关系到专业运动队训练保障、群众健身需求满足，更是推动全民健身与全民健康深度融合的基础支撑。</w:t>
      </w:r>
    </w:p>
    <w:p w14:paraId="4FF7CB8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前，我区全民健身事业进入高质量发展阶段，群众参与体育健身的热情持续高涨，对体育场馆的服务质量、设施完好度、运行稳定性提出了更高要求。同时，专业运动队的日常训练、赛事备赛也需要标准化、规范化的场馆运行保障。为确保体育场馆设备设施始终处于良好运行状态，为优秀运动队训练和广大健身群众提供安全、优良的运动环境，保障全民健身公共服务体系建设落地见效，特设立场馆日常维护运转经费项目，通过常态化的运维保障，夯实体育事业发展的硬件基础。</w:t>
      </w:r>
    </w:p>
    <w:p w14:paraId="74C1744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2、主要内容及实施情况</w:t>
      </w:r>
    </w:p>
    <w:p w14:paraId="1917068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2025年对新疆维吾尔自治区体育中心1个核心场馆开展全维度日常维护运转工作，保障场馆有效运行面积15万平方米，主要开展场馆建筑主体、运动场地、健身设施、机电设备、给排水系统、供电照明系统、燃气供应系统等设施设备的日常巡检、维修保养、故障处置等工作，确保场馆各系统正常运转。</w:t>
      </w:r>
    </w:p>
    <w:p w14:paraId="6D6FF8E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（2）严格按照既定成本标准管控场馆运营能耗，水费按4.5元/立方米、电费按0.5元/度、燃气费按2.50元/立方米执行，统筹保障场馆水、电、气等基础资源正常供应，为场馆日常开放和使用提供基础支撑。</w:t>
      </w:r>
    </w:p>
    <w:p w14:paraId="4F27555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（3）全面保障场馆全年无间断正常开放，落实场馆运维常态化管理机制，对场馆出现的设备故障、设施损耗等问题实行24小时响应处置，确保维护及时率100%，全年场馆正常运转率保持100%。</w:t>
      </w:r>
    </w:p>
    <w:p w14:paraId="6F23B66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（4）以场馆为载体开展全民健身服务，优化场馆开放时间、完善服务配套，保障群众健身和运动队训练需求，2025年场馆累计服务健身群众及运动队训练人次达</w:t>
      </w:r>
      <w:r>
        <w:rPr>
          <w:rFonts w:hint="eastAsia" w:ascii="仿宋_GB2312" w:hAnsi="仿宋_GB2312" w:cs="仿宋_GB2312"/>
          <w:sz w:val="32"/>
          <w:szCs w:val="32"/>
          <w:lang w:val="en-US" w:eastAsia="zh-CN"/>
        </w:rPr>
        <w:t>108</w:t>
      </w:r>
      <w:r>
        <w:rPr>
          <w:rFonts w:hint="eastAsia" w:ascii="仿宋_GB2312" w:hAnsi="仿宋_GB2312" w:eastAsia="仿宋_GB2312" w:cs="仿宋_GB2312"/>
          <w:sz w:val="32"/>
          <w:szCs w:val="32"/>
        </w:rPr>
        <w:t>万人次，超额完成既定服务目标。</w:t>
      </w:r>
    </w:p>
    <w:p w14:paraId="323C4DB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各项目指标均已完成，场馆运维保障效果良好，全民健身服务效能充分发挥。</w:t>
      </w:r>
    </w:p>
    <w:p w14:paraId="32FF0A4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3、资金投入和使用情况</w:t>
      </w:r>
    </w:p>
    <w:p w14:paraId="53D29A7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2025年预算资金832万元，已全额到位，均为财政拨款，无自筹资金，预算资金到位率达到100%。</w:t>
      </w:r>
    </w:p>
    <w:p w14:paraId="7D21547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cs="仿宋_GB2312"/>
          <w:sz w:val="32"/>
          <w:szCs w:val="32"/>
          <w:lang w:eastAsia="zh-CN"/>
        </w:rPr>
        <w:t>截至</w:t>
      </w:r>
      <w:r>
        <w:rPr>
          <w:rFonts w:hint="eastAsia" w:ascii="仿宋_GB2312" w:hAnsi="仿宋_GB2312" w:eastAsia="仿宋_GB2312" w:cs="仿宋_GB2312"/>
          <w:sz w:val="32"/>
          <w:szCs w:val="32"/>
        </w:rPr>
        <w:t>2025年12月31日为止，已支出832万元，资金执行率100%。各项资金拨付严格按照上级文件指示精神及《自治区财政资金使用跟踪反馈管理暂行办法》等规定执行，支出均有相关的授权审批，资金拨付严格按审批程序进行，使用规范，会计核算结果真实、准确，专项用于场馆日常维护、设备维修、能耗保障、服务配套等相关工作，无截留、挤占、挪用情况。</w:t>
      </w:r>
    </w:p>
    <w:p w14:paraId="0C36C28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4、项目绩效目标</w:t>
      </w:r>
    </w:p>
    <w:p w14:paraId="2F3C945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总体目标：目标1：开展场馆物业运行及维护工作，</w:t>
      </w:r>
      <w:r>
        <w:rPr>
          <w:rFonts w:hint="eastAsia" w:ascii="仿宋_GB2312" w:hAnsi="仿宋_GB2312" w:cs="仿宋_GB2312"/>
          <w:sz w:val="32"/>
          <w:szCs w:val="32"/>
          <w:lang w:eastAsia="zh-CN"/>
        </w:rPr>
        <w:t>加大</w:t>
      </w:r>
      <w:r>
        <w:rPr>
          <w:rFonts w:hint="eastAsia" w:ascii="仿宋_GB2312" w:hAnsi="仿宋_GB2312" w:eastAsia="仿宋_GB2312" w:cs="仿宋_GB2312"/>
          <w:sz w:val="32"/>
          <w:szCs w:val="32"/>
        </w:rPr>
        <w:t>体育场馆维修保养力度，构建更高水平的全民健身公共服务体系，确保场馆设备设施正常运转。目标2：通过项目实施，为优秀运动队训练提供标准化场地保障，为健身群众提供安全、优良的运动环境，提升场馆全民健身服务能力，进一步推动我区全民健身事业发展，助力体育强国建设在新疆落地见效。</w:t>
      </w:r>
    </w:p>
    <w:p w14:paraId="056497B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阶段性目标：无。</w:t>
      </w:r>
    </w:p>
    <w:p w14:paraId="3F8707E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14:paraId="7DFF50B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（一）绩效评价目的、对象和范围</w:t>
      </w:r>
    </w:p>
    <w:p w14:paraId="25F8FFA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旨在通过评价改善预算部门的财政支出管理，优化资源配置及提高公共服务水平。本次绩效评价我单位遵循《中华人民共和国预算法》、《中共中央国务院关于全面实施预算绩效管理的意见》（中发〔2018〕34号文）、《自治区党委 自治区人民政府关于全面实施预算绩效管理的实施意见》（新党发〔2018〕30号文）、《关于做好2019年自治区预算绩效管理工作》（新财预〔2019〕20号）、《自治区全面实施预算绩效管理的工作方案》（新财预〔2018〕158号）、《自治区财政支出事前绩效评估管理暂行办法》（新财预〔2019〕36号）文件要求，引入第三方主体，采用科学、规范的方法，依据既定的评价技术体系，为加强财政预算资金管理，客观公正地核查场馆日常维护运转经费项目设计目标实现程度，考核项目资金支出效率和综合效果，及时总结经验，分析存在问题及原因，切实采取有效措施进一步改进和加强财政专项资金管理，推动财政资金聚力增效，提高公共服务供给质量，增强政府公信力和执行力。</w:t>
      </w:r>
    </w:p>
    <w:p w14:paraId="6E3D1D2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我单位从决策、过程、产出、成本和效果五个方面针对本项目进行评价，通过开展绩效评价，提高财政资金分配的科学性、有效性，向建立绩效预算制度迈出重要的一步。</w:t>
      </w:r>
    </w:p>
    <w:p w14:paraId="74EA367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（二）绩效评价原则、评价指标体系、评价方法、评价标准等</w:t>
      </w:r>
    </w:p>
    <w:p w14:paraId="27647F7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1、绩效评价原则</w:t>
      </w:r>
    </w:p>
    <w:p w14:paraId="6CF56E8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（1）科学公正、科学规范原则。绩效评价应当运用科学合理的方法，按照规范的程序，对项目绩效进行客观、公正的反映，按照科学可行的要求，采用定量与定性分析相结合的方法。</w:t>
      </w:r>
    </w:p>
    <w:p w14:paraId="5AC229C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（2）分级分类原则。我单位根据“谁支出、谁自评”的原则，根据评价对象的特点分类组织实施绩效评价工作，与相关单位职责明确，各有侧重，相互衔接。</w:t>
      </w:r>
    </w:p>
    <w:p w14:paraId="774351E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（3）绩效相关原则。我单位绩效评价针对具体投入及其产出绩效进行，评价结果清晰反映了支出和产出绩效之间的紧密对应关系。</w:t>
      </w:r>
    </w:p>
    <w:p w14:paraId="0E15307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（4）公正公开、透明原则。绩效评价结果应当符合真实、客观、公正的要求，依法依规公开，并自觉接受社会监督。</w:t>
      </w:r>
    </w:p>
    <w:p w14:paraId="6E1CBE8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2、评价指标体系</w:t>
      </w:r>
    </w:p>
    <w:p w14:paraId="5A09D1D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指标体系是建立财政支出评价的载体，财政支出效益必须通过评价指标予以体现。科学、完整的评价指标体系是取得正确评价结果的先决条件，因而指标体系的设计应体现完整性、科学性及易操作性等特点，坚持经济性、效率性和有效性兼顾的原则，按照评价目标和财政支出范围分层设置。</w:t>
      </w:r>
    </w:p>
    <w:p w14:paraId="0F06FD3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财政支出绩效评价指标体系严格按照《项目支出绩效评价管理办法》（财预〔2020〕10号）文件要求设置，指标体系设置一级指标共5个，包括决策指标（20%）、过程指标（20%）、产出指标（20%）、成本指标（10%）、效益指标（30%）五类指标；主要围绕资金使用、项目管理、资源配置等方面，客观分析项目的产出和效果，从而考察项目预算定额标准的合理性，进而提出完善意见。整个评价框架构成体现从投入、过程到产出、效果和影响的绩效逻辑路径。</w:t>
      </w:r>
    </w:p>
    <w:p w14:paraId="77F5D18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我单位经过一系列论证，从决策、过程、产出、成本和</w:t>
      </w:r>
      <w:r>
        <w:rPr>
          <w:rFonts w:hint="eastAsia" w:ascii="仿宋_GB2312" w:hAnsi="仿宋_GB2312" w:cs="仿宋_GB2312"/>
          <w:sz w:val="32"/>
          <w:szCs w:val="32"/>
          <w:lang w:eastAsia="zh-CN"/>
        </w:rPr>
        <w:t>效益</w:t>
      </w:r>
      <w:r>
        <w:rPr>
          <w:rFonts w:hint="eastAsia" w:ascii="仿宋_GB2312" w:hAnsi="仿宋_GB2312" w:eastAsia="仿宋_GB2312" w:cs="仿宋_GB2312"/>
          <w:sz w:val="32"/>
          <w:szCs w:val="32"/>
        </w:rPr>
        <w:t>五个过程进行评价，涉及二级指标</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rPr>
        <w:t>个，三级指标</w:t>
      </w:r>
      <w:r>
        <w:rPr>
          <w:rFonts w:hint="eastAsia" w:ascii="仿宋_GB2312" w:hAnsi="仿宋_GB2312" w:cs="仿宋_GB2312"/>
          <w:sz w:val="32"/>
          <w:szCs w:val="32"/>
          <w:lang w:val="en-US" w:eastAsia="zh-CN"/>
        </w:rPr>
        <w:t>16</w:t>
      </w:r>
      <w:r>
        <w:rPr>
          <w:rFonts w:hint="eastAsia" w:ascii="仿宋_GB2312" w:hAnsi="仿宋_GB2312" w:eastAsia="仿宋_GB2312" w:cs="仿宋_GB2312"/>
          <w:sz w:val="32"/>
          <w:szCs w:val="32"/>
        </w:rPr>
        <w:t>个，具体评价指标体系附表说明：</w:t>
      </w:r>
    </w:p>
    <w:p w14:paraId="3DD0A6C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3、评价方法</w:t>
      </w:r>
    </w:p>
    <w:p w14:paraId="1BFAE56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成本效益分析法。是指将投入与产出、效益进行关联性分析的方法。</w:t>
      </w:r>
    </w:p>
    <w:p w14:paraId="51D5E34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比较法。是指将实施情况与绩效目标、历史情况、不同部门和地区同类支出情况进行比较的方法。</w:t>
      </w:r>
    </w:p>
    <w:p w14:paraId="19F3F60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最低成本法。是指在绩效目标确定的前提下，成本最小者为优的方法。</w:t>
      </w:r>
    </w:p>
    <w:p w14:paraId="23E7B1A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标杆管理法。是指以国内外同行业中较高的绩效水平为标杆进行评判的方法。</w:t>
      </w:r>
    </w:p>
    <w:p w14:paraId="6DBF266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结合本单位项目开展具体情况，我单位采用了比较法、成本效益分析法，通过着重比较项目的全部成本和效益来评估项目价值，确定三级指标得分情况。</w:t>
      </w:r>
    </w:p>
    <w:p w14:paraId="70417D7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4、评价标准</w:t>
      </w:r>
    </w:p>
    <w:p w14:paraId="6459AD4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标准通常包括计划标准、行业标准、历史标准等，用于对绩效指标完成情况进行比较。我单位针对该项目结合历史标准与计划标准，参考场馆运维历年绩效指标平均值、上年值，结合本年度场馆运维实际需求制定的计划目标值，对绩效指标完成情况进行评价。</w:t>
      </w:r>
    </w:p>
    <w:p w14:paraId="46A2FB5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5、其他相关依据文件及项目单位提供的其他佐证材料等</w:t>
      </w:r>
    </w:p>
    <w:p w14:paraId="50203D3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上述评价标准，项目部门需提供的佐证材料为工作资料：部门总结、场馆运维台账、设备维修记录、能耗缴费凭证、服务人次统计报表、相关业务资料等。说明材料：针对无直接佐证材料或者综合性的内容，由相关单位、人员出具正式说明。</w:t>
      </w:r>
    </w:p>
    <w:p w14:paraId="67DEEB3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（三）绩效评价工作过程</w:t>
      </w:r>
    </w:p>
    <w:p w14:paraId="169189F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为了提高财政资金分配的科学性、有效性，加强财政专项资金管理，提高支出效益，我单位自项目下达之日高度重视，具体绩效评价工作过程如下:</w:t>
      </w:r>
    </w:p>
    <w:p w14:paraId="1344856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1、确定绩效评价对象和范围</w:t>
      </w:r>
    </w:p>
    <w:p w14:paraId="02A082C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根据绩效评价工作重点及预算管理要求确定了绩效评价对象。我单位从产出、效果和满意度三个方面针对本项目进行评价，评价的范围包括项目具体的数量指标、质量指标、时效指标、成本指标、社会效益指标及满意度指标等。</w:t>
      </w:r>
    </w:p>
    <w:p w14:paraId="318D76A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2、收集绩效评价相关数据资料</w:t>
      </w:r>
    </w:p>
    <w:p w14:paraId="7011149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我单位根据需要采取要求相关部门提供资料，包括工作资料、部门总结、场馆运维台账、设备维修记录、能耗缴费凭证、服务人次统计报表、原始凭证、合同、说明材料等。</w:t>
      </w:r>
    </w:p>
    <w:p w14:paraId="03D1157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3、与项目相关科室交换意见</w:t>
      </w:r>
    </w:p>
    <w:p w14:paraId="49E0D8A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我单位绩效评价工作人员及时将绩效评价结果反馈到相关部门，并就绩效评价结果进行积极的沟通，进一步完善评价报告。</w:t>
      </w:r>
    </w:p>
    <w:p w14:paraId="7C51087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三、综合评价情况及评价结论</w:t>
      </w:r>
    </w:p>
    <w:p w14:paraId="3E242A8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具有明确的目标，项目实施过程中严格按自治区及地区有关项目管理和经费管理规定执行，合理控制成本、使用资金。我单位领导团结一致，群策群力，明确项目执行计划、考核指标等事项，严格按照相关的管理制度和办法，组织人力、物力完成项目各阶段的任务。项目实施后有效保障了场馆正常运转，切实满足了运动队训练和群众健身需求，惠及广大群众，效果较好。</w:t>
      </w:r>
    </w:p>
    <w:p w14:paraId="6B3D7EF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经认真对照《项目支出绩效评价指标体系》，我单位场馆日常维护运转经费项目指标都较好地达到了相关要求，项目评价得分：100分，评价等级为：优。具体得分情况附表说明：</w:t>
      </w:r>
    </w:p>
    <w:p w14:paraId="0316B40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四、绩效评价指标分析</w:t>
      </w:r>
    </w:p>
    <w:p w14:paraId="028AEAF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（一）项目决策分析</w:t>
      </w:r>
    </w:p>
    <w:p w14:paraId="2D77ECC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项目决策分析主要是对项目立项、绩效目标及资金投入进行分析。项目决策类指标由3个二级指标和6个三级指标构成，该项满分为20分，得分20分，得分率100%。</w:t>
      </w:r>
    </w:p>
    <w:p w14:paraId="71A5C6E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1、项目立项分析（得分6分）</w:t>
      </w:r>
    </w:p>
    <w:p w14:paraId="5CCB268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（1）立项依据充分性（得分3分）</w:t>
      </w:r>
    </w:p>
    <w:p w14:paraId="2548C91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①项目立项依据《体育强国建设纲要》、《全民健身条例》等国家法律法规和相关政策，契合加快建设体育强国、构建更高水平全民健身公共服务体系的发展要求；</w:t>
      </w:r>
    </w:p>
    <w:p w14:paraId="6570F16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②项目立项依据《自治区财政资金使用跟踪反馈管理暂行办法》（新财预﹝2016﹞113)及自治区体育事业发展规划，符合部门或行业发展规划和政策要求。</w:t>
      </w:r>
    </w:p>
    <w:p w14:paraId="2EC988A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（2）立项程序规范性（得分3分）</w:t>
      </w:r>
    </w:p>
    <w:p w14:paraId="3775CFC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①项目按照规定的程序申请设立；</w:t>
      </w:r>
    </w:p>
    <w:p w14:paraId="2D07F2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②审批文件、材料符合相关要求；以相关法律、法规、规章以及财政部有关文件等为依据，并收集足够的相关文件及资料，通过现场调研、场馆运维需求分析为评估结论提供充分的依据支持。</w:t>
      </w:r>
    </w:p>
    <w:p w14:paraId="6E72708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2、绩效目标分析（得分8分）</w:t>
      </w:r>
    </w:p>
    <w:p w14:paraId="0446954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（1）绩效目标合理性（得分4分）</w:t>
      </w:r>
    </w:p>
    <w:p w14:paraId="4881C3C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项目设定绩效目标</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项目设定一级指标3个，二级指标</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rPr>
        <w:t>个，三级指标9个。项目绩效目标与场馆日常维护运转的实际工作内容具有高度相关性；项目预期产出效益和效果符合场馆运维工作的正常业绩水平；与预算确定的项目投资额或资金量相匹配。</w:t>
      </w:r>
    </w:p>
    <w:p w14:paraId="22B9F52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（2）绩效指标明确性（得分4分）</w:t>
      </w:r>
    </w:p>
    <w:p w14:paraId="57A3CF2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项目实施有明确的年度目标，且将绩效目标细化为一级指标3个，二级指标</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rPr>
        <w:t>个，三级指标9个。</w:t>
      </w:r>
    </w:p>
    <w:p w14:paraId="38FFC26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①将项目绩效目标细化分解为具体的绩效指标如下：</w:t>
      </w:r>
    </w:p>
    <w:p w14:paraId="4F8EA6C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数量指标：保障场馆运行面积≥15万平方米；维护场馆数量=1个；</w:t>
      </w:r>
    </w:p>
    <w:p w14:paraId="683930A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质量指标：保障场馆正常运转率=100%。</w:t>
      </w:r>
    </w:p>
    <w:p w14:paraId="0A8D69D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时效指标：场馆运转维护及时率=100%。</w:t>
      </w:r>
    </w:p>
    <w:p w14:paraId="0F57CFB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经济成本指标：水费标准=4.5元/立方米；电费标准=0.5元/度；燃气费用标准=2.50元/立方米。</w:t>
      </w:r>
    </w:p>
    <w:p w14:paraId="039732B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社会效益</w:t>
      </w:r>
      <w:r>
        <w:rPr>
          <w:rFonts w:hint="eastAsia" w:ascii="仿宋_GB2312" w:hAnsi="仿宋_GB2312" w:eastAsia="仿宋_GB2312" w:cs="仿宋_GB2312"/>
          <w:b w:val="0"/>
          <w:bCs w:val="0"/>
          <w:sz w:val="32"/>
          <w:szCs w:val="32"/>
          <w:lang w:val="en-US" w:eastAsia="zh-CN"/>
        </w:rPr>
        <w:t>指标：场馆正常运转率=100%；场馆年服务人次≥90万人次。</w:t>
      </w:r>
    </w:p>
    <w:p w14:paraId="232EC46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②绩效指标通过清晰、可衡量的指标值予以体现；通过指标设定数与实际完成数对比，各项指标均已完成。</w:t>
      </w:r>
    </w:p>
    <w:p w14:paraId="6390564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③与项目目标任务数或计划数相对应。</w:t>
      </w:r>
    </w:p>
    <w:p w14:paraId="26E375D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3、资金投入分析（得分6分）</w:t>
      </w:r>
    </w:p>
    <w:p w14:paraId="358B77D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预算编制科学性（得分3分）：本项目预算832万元，项目预算内容与场馆日常维护运转的各项工作内容相匹配，预算确定的项目资金量与实际工作完成所需资金量基本相适应。</w:t>
      </w:r>
    </w:p>
    <w:p w14:paraId="29B718A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资金分配合理性（得分3分）：预算资金分配依据充分，按照场馆维护、设备维修、能耗保障、服务配套等工作板块合理分配资金；资金分配额度与实际工作完成所需资金量相适应。</w:t>
      </w:r>
    </w:p>
    <w:p w14:paraId="13497AB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（二）过程情况分析</w:t>
      </w:r>
    </w:p>
    <w:p w14:paraId="1A47A61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项目过程指标由2个二级指标和5个三级指标构成，该项满分为20分，得分20分，得分率100%。项目建立了比较健全的配套资金管理制度，且在项目实施过程中能够按照管理执行。</w:t>
      </w:r>
    </w:p>
    <w:p w14:paraId="4D3BED9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1、资金管理分析（得分12分）</w:t>
      </w:r>
    </w:p>
    <w:p w14:paraId="3A0A589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（1）资金到位率（得分4分）</w:t>
      </w:r>
    </w:p>
    <w:p w14:paraId="6B0DB58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资金到位率用以反映和考核资金落实情况对项目实施的总体保障程度。资金到位率=（实际到位资金/预算资金）×100%。本项目实际到位资金832万元，预算资金832万元，资金到位率100%。</w:t>
      </w:r>
    </w:p>
    <w:p w14:paraId="74182BB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（2）预算执行率（得分4分）</w:t>
      </w:r>
    </w:p>
    <w:p w14:paraId="4176337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预算执行率用以反映或考核项目预算执行情况。预算执行率=（实际支出资金/实际到位资金）×100%。本项目实际到位资金832万元，实际支出资金832万元，预算执行率100%。本项目任务已全部完成。</w:t>
      </w:r>
    </w:p>
    <w:p w14:paraId="4B2D6C6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（3）资金使用合规性（得分4分）</w:t>
      </w:r>
    </w:p>
    <w:p w14:paraId="43F363C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资金的拨付有完整的审批程序和手续；符合项目预算批复或合同规定的用途；不存在截留、挤占、挪用、虚列支出等情况。</w:t>
      </w:r>
    </w:p>
    <w:p w14:paraId="668ED06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2、组织实施分析（得分8分）</w:t>
      </w:r>
    </w:p>
    <w:p w14:paraId="2C976D9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（1）管理制度健全性（得分4分）</w:t>
      </w:r>
    </w:p>
    <w:p w14:paraId="02E1010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建立了完善的场馆日常维护管理制度、设备维修保养制度、资金使用管理制度、能耗管控制度等，资金严格按照《关于印发&lt;自治区财政资金使用跟踪反馈管理暂行办法&gt;的通知》（新财预字[2016]113号）等相关专项资金、项目管理办法执行，按比例按资金用途使用，实行专款专用、严禁挤占挪用。确保资金安全、项目发挥效益。资金的拨付有完整的审批程序和手续；符合项目预算批复或合同规定的用途；不存在截留、挤占、挪用、虚列支出等情况。</w:t>
      </w:r>
    </w:p>
    <w:p w14:paraId="7102CAE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（2）制度执行有效性（得分4分）</w:t>
      </w:r>
    </w:p>
    <w:p w14:paraId="3DB3DA1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项目资金严格按照《中华人民共和国预算法》，加强对项目资金的预算执行及日常监督管理，确保每个项目按照规定的用途实施。资金拨付坚持按项目、预算、进度、指定用途拨款，确保财政专项资金规范使用。</w:t>
      </w:r>
    </w:p>
    <w:p w14:paraId="4AF3131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项目立项依据、实施方案、场馆运维台账、财务信息等资料齐全并及时归档；项目实施的人员条件、场地设备、工具耗材、信息支撑等落实到位。</w:t>
      </w:r>
    </w:p>
    <w:p w14:paraId="138892C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（三）产出情况分析</w:t>
      </w:r>
    </w:p>
    <w:p w14:paraId="621AA26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项目产出包括产出数量、产出质量、产出时效3个二级指标。该项满分为20分，得分20分，得分率100%。</w:t>
      </w:r>
    </w:p>
    <w:p w14:paraId="1B6B1AF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1、产出数量分析（得分10分）</w:t>
      </w:r>
    </w:p>
    <w:p w14:paraId="110D03B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数量指标：指标1：保障场馆运行面积，指标值：≥15万平方米，实际完成值15万平方米，指标完成率10</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w:t>
      </w:r>
    </w:p>
    <w:p w14:paraId="0F3DA49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指标2：维护场馆数量，指标值：=1个，实际完成值1个，指标完成率100%。</w:t>
      </w:r>
    </w:p>
    <w:p w14:paraId="2704D8E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2、产出质量分析（得分5分）</w:t>
      </w:r>
    </w:p>
    <w:p w14:paraId="52FDB56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质量指标：指标1：保障场馆正常运转率，指标值：=100%，实际完成值100%，指标完成率100%。</w:t>
      </w:r>
    </w:p>
    <w:p w14:paraId="6DF88DC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3、产出时效分析（得分5分）</w:t>
      </w:r>
    </w:p>
    <w:p w14:paraId="6CD8B0A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时效指标：指标1：场馆运转维护及时率，指标值：=100%，实际完成值100%，指标完成率100%。</w:t>
      </w:r>
    </w:p>
    <w:p w14:paraId="4F235B3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（四）成本情况分析</w:t>
      </w:r>
    </w:p>
    <w:p w14:paraId="589A5A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项目成本共1个二级指标。该项满分为10分，得分10分，得分率100%。</w:t>
      </w:r>
    </w:p>
    <w:p w14:paraId="579CCF1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1、成本指标分析（得分10分）</w:t>
      </w:r>
    </w:p>
    <w:p w14:paraId="0DA1FBF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经济成本指标：指标1：水费标准，指标值：=4.5元/立方米，实际完成值4.5元/立方米，指标完成率100%。</w:t>
      </w:r>
    </w:p>
    <w:p w14:paraId="5713745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指标2：电费标准，指标值：=0.5元/度，实际完成值0.5元/度，指标完成率100%。</w:t>
      </w:r>
    </w:p>
    <w:p w14:paraId="6A9853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指标3：燃气费用标准，指标值：=2.50元/立方米，实际完成值2.50元/立方米，指标完成率100%。</w:t>
      </w:r>
    </w:p>
    <w:p w14:paraId="535F7DA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sz w:val="32"/>
          <w:szCs w:val="32"/>
        </w:rPr>
        <w:t>（五）项目效益情况</w:t>
      </w:r>
    </w:p>
    <w:p w14:paraId="64F0BAC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项目效益包括</w:t>
      </w:r>
      <w:r>
        <w:rPr>
          <w:rFonts w:hint="eastAsia" w:ascii="仿宋_GB2312" w:hAnsi="仿宋_GB2312" w:cs="仿宋_GB2312"/>
          <w:sz w:val="32"/>
          <w:szCs w:val="32"/>
          <w:lang w:eastAsia="zh-CN"/>
        </w:rPr>
        <w:t>社会</w:t>
      </w:r>
      <w:r>
        <w:rPr>
          <w:rFonts w:hint="eastAsia" w:ascii="仿宋_GB2312" w:hAnsi="仿宋_GB2312" w:eastAsia="仿宋_GB2312" w:cs="仿宋_GB2312"/>
          <w:sz w:val="32"/>
          <w:szCs w:val="32"/>
        </w:rPr>
        <w:t>效益</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个二级指标。该项满分为30 分，得分30分，得分率100%。</w:t>
      </w:r>
    </w:p>
    <w:p w14:paraId="572AB8A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cs="仿宋_GB2312"/>
          <w:sz w:val="32"/>
          <w:szCs w:val="32"/>
          <w:lang w:eastAsia="zh-CN"/>
        </w:rPr>
        <w:t>效益指标分析</w:t>
      </w:r>
      <w:r>
        <w:rPr>
          <w:rFonts w:hint="eastAsia" w:ascii="仿宋_GB2312" w:hAnsi="仿宋_GB2312" w:eastAsia="仿宋_GB2312" w:cs="仿宋_GB2312"/>
          <w:sz w:val="32"/>
          <w:szCs w:val="32"/>
        </w:rPr>
        <w:t>（得分</w:t>
      </w:r>
      <w:r>
        <w:rPr>
          <w:rFonts w:hint="eastAsia" w:ascii="仿宋_GB2312" w:hAnsi="仿宋_GB2312" w:cs="仿宋_GB2312"/>
          <w:sz w:val="32"/>
          <w:szCs w:val="32"/>
          <w:lang w:val="en-US" w:eastAsia="zh-CN"/>
        </w:rPr>
        <w:t>30</w:t>
      </w:r>
      <w:r>
        <w:rPr>
          <w:rFonts w:hint="eastAsia" w:ascii="仿宋_GB2312" w:hAnsi="仿宋_GB2312" w:eastAsia="仿宋_GB2312" w:cs="仿宋_GB2312"/>
          <w:sz w:val="32"/>
          <w:szCs w:val="32"/>
        </w:rPr>
        <w:t>分）</w:t>
      </w:r>
    </w:p>
    <w:p w14:paraId="2070B66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社会效益指标</w:t>
      </w:r>
      <w:r>
        <w:rPr>
          <w:rFonts w:hint="eastAsia" w:ascii="仿宋_GB2312" w:hAnsi="仿宋_GB2312" w:cs="仿宋_GB2312"/>
          <w:sz w:val="32"/>
          <w:szCs w:val="32"/>
          <w:lang w:eastAsia="zh-CN"/>
        </w:rPr>
        <w:t>：指标</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场馆正常运转率100%，指标值：=100%，实际完成值100%，指标完成率100%。</w:t>
      </w:r>
    </w:p>
    <w:p w14:paraId="084890C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rPr>
      </w:pPr>
      <w:r>
        <w:rPr>
          <w:rFonts w:hint="eastAsia" w:ascii="仿宋_GB2312" w:hAnsi="仿宋_GB2312" w:eastAsia="仿宋_GB2312" w:cs="仿宋_GB2312"/>
          <w:sz w:val="32"/>
          <w:szCs w:val="32"/>
        </w:rPr>
        <w:t>指标</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：场馆年服务人次，指标值：≥90万人次，实际完成值</w:t>
      </w:r>
      <w:r>
        <w:rPr>
          <w:rFonts w:hint="eastAsia" w:ascii="仿宋_GB2312" w:hAnsi="仿宋_GB2312" w:cs="仿宋_GB2312"/>
          <w:sz w:val="32"/>
          <w:szCs w:val="32"/>
          <w:lang w:val="en-US" w:eastAsia="zh-CN"/>
        </w:rPr>
        <w:t>108</w:t>
      </w:r>
      <w:r>
        <w:rPr>
          <w:rFonts w:hint="eastAsia" w:ascii="仿宋_GB2312" w:hAnsi="仿宋_GB2312" w:eastAsia="仿宋_GB2312" w:cs="仿宋_GB2312"/>
          <w:sz w:val="32"/>
          <w:szCs w:val="32"/>
        </w:rPr>
        <w:t>万人次，指标完成率</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rPr>
        <w:t>%。</w:t>
      </w:r>
    </w:p>
    <w:p w14:paraId="5F0D513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（2）经济效益指标：无此项指标。</w:t>
      </w:r>
    </w:p>
    <w:p w14:paraId="0A3F476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（3）生态效益指标：无此项指标。</w:t>
      </w:r>
    </w:p>
    <w:p w14:paraId="413BD6D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（4）可持续影响指标：无此项指标。</w:t>
      </w:r>
    </w:p>
    <w:p w14:paraId="1173F5A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五、主要经验及做法、存在的问题及原因分析</w:t>
      </w:r>
    </w:p>
    <w:p w14:paraId="4A64979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1、主要经验及做法</w:t>
      </w:r>
    </w:p>
    <w:p w14:paraId="63A681E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持续完善场馆日常维护运转管理制度体系，建立常态化巡检、维修保养、故障快速处置机制，明确各岗位运维职责，实现场馆运维工作标准化、规范化管理，确保场馆设备设施始终处于良好运行状态，保障场馆正常运转率和维护及时率双100%。</w:t>
      </w:r>
    </w:p>
    <w:p w14:paraId="2E2757E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格落实成本管控要求，按照既定水、电、气成本标准建立精细化能耗管控体系，做好能耗数据统计、分析与管控，实现场馆运营成本精准把控，确保财政资金高效使用，在保障场馆正常运转的前提下，不超标准、不超预算支出。</w:t>
      </w:r>
    </w:p>
    <w:p w14:paraId="7DD8ED2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群众健身需求和运动队训练保障为导向，优化场馆开放服务模式，完善场馆服务配套设施，提升场馆服务质量，同时做好场馆运营宣传工作，扩大场馆全民健身服务覆盖面，切实发挥体育场馆的公共服务功能，提升服务对象满意度。</w:t>
      </w:r>
    </w:p>
    <w:p w14:paraId="3BAF9BB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2、存在的问题</w:t>
      </w:r>
    </w:p>
    <w:p w14:paraId="23A3E26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场馆数字化运维管理水平有待提升，当前场馆运维台账、设备维修记录、能耗统计、服务人次等数据仍以人工统计、线下记录为主，缺乏数字化管理平台，数据整合分析效率较低，难以实现场馆运维工作的实时监控、精准调控和智能化管理。</w:t>
      </w:r>
    </w:p>
    <w:p w14:paraId="0EDA995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场馆全民健身服务的辐射效应未充分挖掘，受场馆特色健身课程开发不足、周边社区联动不够、线上宣传力度有限等因素影响，场馆服务人次虽超额完成目标，但增长潜力仍未充分释放，对偏远地区群众的健身服务覆盖不足。</w:t>
      </w:r>
    </w:p>
    <w:p w14:paraId="7166264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六、有关建议</w:t>
      </w:r>
    </w:p>
    <w:p w14:paraId="7AD4EFB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快推进场馆运维数字化升级，搭建场馆数字化运维管理平台，整合场馆巡检、设备维修、能耗监测、服务人次统计等各类数据，实现数据实时采集、分析、监控，推动场馆运维工作从人工管理向智能化、精准化管理转变，提升场馆运维管理效率和水平。</w:t>
      </w:r>
    </w:p>
    <w:p w14:paraId="31111E0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全民健身需求为导向，优化场馆服务供给，结合不同人群健身特点开发特色健身课程、举办小型全民健身赛事活动；加强与周边社区、学校、企业的联动合作，开展场馆开放体验、健身指导进社区等活动；加大场馆线上线下宣传力度，扩大场馆服务覆盖面，进一步挖掘场馆服务人次增长潜力，提升场馆全民健身服务辐射效应。</w:t>
      </w:r>
    </w:p>
    <w:p w14:paraId="06FB87D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场馆运维工作实际需求，结合物价波动、设备老化等因素，科学编制项目预算，优化资金分配方案，加大对场馆设备更新、数字化升级、服务配套完善等方面的资金投入，同时积极与政府相关部门沟通，争取更多专项财政资金支持，保障场馆运维工作高质量开展。</w:t>
      </w:r>
    </w:p>
    <w:p w14:paraId="04FC5D9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七、其他需要说明的问题</w:t>
      </w:r>
    </w:p>
    <w:p w14:paraId="5549A49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后期我单位将对项目进行全面总结，在评价工作过程中遇到的问题及政策与制度完善以书面材料等形式进行备案并妥善保管。今后工作中我单位将继续加强财务管理，严格财务审核，提高财务的精细化管理水平，并按照政府信息公开有关规定，积极推进评价结果和评价报告等绩效信息的公开，加强社会和舆论监督，提高财政资金使用透明度。同时，持续优化场馆运维管理制度和服务模式，不断提升场馆运维保障能力和全民健身服务水平，提高为民服务效率，切实提升健身群众和运动队的满意度，推动我区全民健身事业和竞技体育事业协同发展。</w:t>
      </w:r>
    </w:p>
    <w:sectPr>
      <w:pgSz w:w="11906" w:h="16838"/>
      <w:pgMar w:top="2098" w:right="1531" w:bottom="1984" w:left="1531" w:header="851" w:footer="992" w:gutter="0"/>
      <w:cols w:space="0" w:num="1"/>
      <w:rtlGutter w:val="0"/>
      <w:docGrid w:type="lines" w:linePitch="41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2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06725"/>
    <w:rsid w:val="02753E85"/>
    <w:rsid w:val="031C69F7"/>
    <w:rsid w:val="06EC503B"/>
    <w:rsid w:val="08AC4379"/>
    <w:rsid w:val="106F460A"/>
    <w:rsid w:val="10D80401"/>
    <w:rsid w:val="116E48C1"/>
    <w:rsid w:val="25CD79B1"/>
    <w:rsid w:val="2BD53A9A"/>
    <w:rsid w:val="3B0357CB"/>
    <w:rsid w:val="4A8204BA"/>
    <w:rsid w:val="52825384"/>
    <w:rsid w:val="536F17F8"/>
    <w:rsid w:val="60D13AF2"/>
    <w:rsid w:val="63BA261B"/>
    <w:rsid w:val="66FF6B5C"/>
    <w:rsid w:val="73F05BE5"/>
    <w:rsid w:val="74934EEE"/>
    <w:rsid w:val="76F93003"/>
    <w:rsid w:val="78F54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Cambria" w:hAnsi="Cambria"/>
      <w:b/>
      <w:bCs/>
      <w:kern w:val="0"/>
      <w:szCs w:val="26"/>
    </w:rPr>
  </w:style>
  <w:style w:type="character" w:default="1" w:styleId="4">
    <w:name w:val="Default Paragraph Fon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7221</Words>
  <Characters>7486</Characters>
  <Lines>0</Lines>
  <Paragraphs>0</Paragraphs>
  <TotalTime>0</TotalTime>
  <ScaleCrop>false</ScaleCrop>
  <LinksUpToDate>false</LinksUpToDate>
  <CharactersWithSpaces>7490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2026-03-18T08:59:00Z</dcterms:created>
  <dc:creator>Administrator</dc:creator>
  <cp:lastModifiedBy>左先生</cp:lastModifiedBy>
  <dcterms:modified xsi:type="dcterms:W3CDTF">2026-03-23T04:08:36Z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eyJoZGlkIjoiNDViN2Y4ODlkMDA0YmMxNGIwZWQzNjA4YTFjYmU5YmIiLCJ1c2VySWQiOiIzMTUyMzYyMTYifQ==</vt:lpwstr>
  </property>
  <property fmtid="{D5CDD505-2E9C-101B-9397-08002B2CF9AE}" pid="4" name="ICV">
    <vt:lpwstr>33DFBC6152D24999A386F31C9627A83D_12</vt:lpwstr>
  </property>
</Properties>
</file>