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465A9">
      <w:pPr>
        <w:spacing w:line="540" w:lineRule="exact"/>
        <w:jc w:val="center"/>
        <w:rPr>
          <w:rFonts w:hint="default" w:ascii="Times New Roman" w:hAnsi="Times New Roman" w:eastAsia="华文中宋" w:cs="Times New Roman"/>
          <w:b/>
          <w:kern w:val="0"/>
          <w:sz w:val="52"/>
          <w:szCs w:val="52"/>
        </w:rPr>
      </w:pPr>
    </w:p>
    <w:p w14:paraId="226C397C">
      <w:pPr>
        <w:spacing w:line="540" w:lineRule="exact"/>
        <w:jc w:val="center"/>
        <w:rPr>
          <w:rFonts w:hint="default" w:ascii="Times New Roman" w:hAnsi="Times New Roman" w:eastAsia="华文中宋" w:cs="Times New Roman"/>
          <w:b/>
          <w:kern w:val="0"/>
          <w:sz w:val="52"/>
          <w:szCs w:val="52"/>
        </w:rPr>
      </w:pPr>
    </w:p>
    <w:p w14:paraId="17FCF339">
      <w:pPr>
        <w:spacing w:line="540" w:lineRule="exact"/>
        <w:jc w:val="center"/>
        <w:rPr>
          <w:rFonts w:hint="default" w:ascii="Times New Roman" w:hAnsi="Times New Roman" w:eastAsia="华文中宋" w:cs="Times New Roman"/>
          <w:b/>
          <w:kern w:val="0"/>
          <w:sz w:val="52"/>
          <w:szCs w:val="52"/>
        </w:rPr>
      </w:pPr>
    </w:p>
    <w:p w14:paraId="1DFB22F6">
      <w:pPr>
        <w:spacing w:line="540" w:lineRule="exact"/>
        <w:rPr>
          <w:rFonts w:hint="default" w:ascii="Times New Roman" w:hAnsi="Times New Roman" w:eastAsia="华文中宋" w:cs="Times New Roman"/>
          <w:b/>
          <w:kern w:val="0"/>
          <w:sz w:val="52"/>
          <w:szCs w:val="52"/>
        </w:rPr>
      </w:pPr>
    </w:p>
    <w:p w14:paraId="585D6ACB">
      <w:pPr>
        <w:spacing w:line="540" w:lineRule="exact"/>
        <w:rPr>
          <w:rFonts w:hint="default" w:ascii="Times New Roman" w:hAnsi="Times New Roman" w:eastAsia="华文中宋" w:cs="Times New Roman"/>
          <w:b/>
          <w:kern w:val="0"/>
          <w:sz w:val="52"/>
          <w:szCs w:val="52"/>
        </w:rPr>
      </w:pPr>
    </w:p>
    <w:p w14:paraId="12740B95">
      <w:pPr>
        <w:spacing w:line="540" w:lineRule="exact"/>
        <w:jc w:val="center"/>
        <w:rPr>
          <w:rFonts w:hint="default" w:ascii="Times New Roman" w:hAnsi="Times New Roman" w:eastAsia="华文中宋" w:cs="Times New Roman"/>
          <w:b/>
          <w:kern w:val="0"/>
          <w:sz w:val="52"/>
          <w:szCs w:val="52"/>
        </w:rPr>
      </w:pPr>
    </w:p>
    <w:p w14:paraId="5C24439E">
      <w:pPr>
        <w:spacing w:line="540" w:lineRule="exact"/>
        <w:jc w:val="center"/>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自治区部门单位整体支出绩效</w:t>
      </w:r>
    </w:p>
    <w:p w14:paraId="7B843697">
      <w:pPr>
        <w:spacing w:line="540" w:lineRule="exact"/>
        <w:jc w:val="center"/>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自评报告</w:t>
      </w:r>
    </w:p>
    <w:p w14:paraId="3C22ADF4">
      <w:pPr>
        <w:spacing w:line="540" w:lineRule="exact"/>
        <w:jc w:val="center"/>
        <w:rPr>
          <w:rFonts w:hint="default" w:ascii="Times New Roman" w:hAnsi="Times New Roman" w:eastAsia="华文中宋" w:cs="Times New Roman"/>
          <w:b/>
          <w:kern w:val="0"/>
          <w:sz w:val="52"/>
          <w:szCs w:val="52"/>
        </w:rPr>
      </w:pPr>
    </w:p>
    <w:p w14:paraId="21ED76D6">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Fonts w:hint="default" w:ascii="Times New Roman" w:hAnsi="Times New Roman"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年度）</w:t>
      </w:r>
    </w:p>
    <w:p w14:paraId="23EDD3A1">
      <w:pPr>
        <w:spacing w:line="540" w:lineRule="exact"/>
        <w:jc w:val="center"/>
        <w:rPr>
          <w:rFonts w:hint="default" w:ascii="Times New Roman" w:hAnsi="Times New Roman" w:eastAsia="仿宋_GB2312" w:cs="Times New Roman"/>
          <w:kern w:val="0"/>
          <w:sz w:val="30"/>
          <w:szCs w:val="30"/>
        </w:rPr>
      </w:pPr>
    </w:p>
    <w:p w14:paraId="5F1ED7F0">
      <w:pPr>
        <w:spacing w:line="540" w:lineRule="exact"/>
        <w:jc w:val="center"/>
        <w:rPr>
          <w:rFonts w:hint="default" w:ascii="Times New Roman" w:hAnsi="Times New Roman" w:eastAsia="仿宋_GB2312" w:cs="Times New Roman"/>
          <w:kern w:val="0"/>
          <w:sz w:val="30"/>
          <w:szCs w:val="30"/>
        </w:rPr>
      </w:pPr>
    </w:p>
    <w:p w14:paraId="5F2F9F94">
      <w:pPr>
        <w:spacing w:line="540" w:lineRule="exact"/>
        <w:jc w:val="center"/>
        <w:rPr>
          <w:rFonts w:hint="default" w:ascii="Times New Roman" w:hAnsi="Times New Roman" w:eastAsia="仿宋_GB2312" w:cs="Times New Roman"/>
          <w:kern w:val="0"/>
          <w:sz w:val="30"/>
          <w:szCs w:val="30"/>
        </w:rPr>
      </w:pPr>
    </w:p>
    <w:p w14:paraId="6293F44F">
      <w:pPr>
        <w:spacing w:line="540" w:lineRule="exact"/>
        <w:jc w:val="center"/>
        <w:rPr>
          <w:rFonts w:hint="default" w:ascii="Times New Roman" w:hAnsi="Times New Roman" w:eastAsia="仿宋_GB2312" w:cs="Times New Roman"/>
          <w:kern w:val="0"/>
          <w:sz w:val="30"/>
          <w:szCs w:val="30"/>
        </w:rPr>
      </w:pPr>
    </w:p>
    <w:p w14:paraId="4732DA25">
      <w:pPr>
        <w:spacing w:line="540" w:lineRule="exact"/>
        <w:jc w:val="center"/>
        <w:rPr>
          <w:rFonts w:hint="default" w:ascii="Times New Roman" w:hAnsi="Times New Roman" w:eastAsia="仿宋_GB2312" w:cs="Times New Roman"/>
          <w:kern w:val="0"/>
          <w:sz w:val="30"/>
          <w:szCs w:val="30"/>
        </w:rPr>
      </w:pPr>
    </w:p>
    <w:p w14:paraId="53F10EFE">
      <w:pPr>
        <w:spacing w:line="540" w:lineRule="exact"/>
        <w:rPr>
          <w:rFonts w:hint="default" w:ascii="Times New Roman" w:hAnsi="Times New Roman" w:eastAsia="仿宋_GB2312" w:cs="Times New Roman"/>
          <w:kern w:val="0"/>
          <w:sz w:val="30"/>
          <w:szCs w:val="30"/>
        </w:rPr>
      </w:pPr>
    </w:p>
    <w:p w14:paraId="407FD978">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p>
    <w:p w14:paraId="0A7C1B8A">
      <w:pPr>
        <w:spacing w:line="700" w:lineRule="exact"/>
        <w:ind w:firstLine="821" w:firstLineChars="236"/>
        <w:jc w:val="left"/>
        <w:rPr>
          <w:rFonts w:hint="default" w:ascii="Times New Roman" w:hAnsi="Times New Roman" w:eastAsia="仿宋_GB2312" w:cs="Times New Roman"/>
          <w:spacing w:val="-6"/>
          <w:kern w:val="0"/>
          <w:sz w:val="36"/>
          <w:szCs w:val="36"/>
        </w:rPr>
      </w:pPr>
      <w:r>
        <w:rPr>
          <w:rFonts w:hint="default" w:ascii="Times New Roman" w:hAnsi="Times New Roman" w:eastAsia="仿宋_GB2312" w:cs="Times New Roman"/>
          <w:spacing w:val="-6"/>
          <w:kern w:val="0"/>
          <w:sz w:val="36"/>
          <w:szCs w:val="36"/>
        </w:rPr>
        <w:t>部门单位名称（公章）：新疆维吾尔自治区体育局</w:t>
      </w:r>
    </w:p>
    <w:p w14:paraId="55C70DD1">
      <w:pPr>
        <w:spacing w:line="700" w:lineRule="exact"/>
        <w:ind w:firstLine="849" w:firstLineChars="236"/>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default" w:ascii="Times New Roman" w:hAnsi="Times New Roman" w:eastAsia="仿宋_GB2312" w:cs="Times New Roman"/>
          <w:kern w:val="0"/>
          <w:sz w:val="36"/>
          <w:szCs w:val="36"/>
          <w:lang w:val="en-US" w:eastAsia="zh-CN"/>
        </w:rPr>
        <w:t>2026</w:t>
      </w:r>
      <w:r>
        <w:rPr>
          <w:rFonts w:hint="default" w:ascii="Times New Roman" w:hAnsi="Times New Roman" w:eastAsia="仿宋_GB2312" w:cs="Times New Roman"/>
          <w:kern w:val="0"/>
          <w:sz w:val="36"/>
          <w:szCs w:val="36"/>
        </w:rPr>
        <w:t>年</w:t>
      </w:r>
      <w:r>
        <w:rPr>
          <w:rFonts w:hint="default" w:ascii="Times New Roman" w:hAnsi="Times New Roman"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default" w:ascii="Times New Roman" w:hAnsi="Times New Roman" w:eastAsia="仿宋_GB2312" w:cs="Times New Roman"/>
          <w:kern w:val="0"/>
          <w:sz w:val="36"/>
          <w:szCs w:val="36"/>
          <w:lang w:val="en-US" w:eastAsia="zh-CN"/>
        </w:rPr>
        <w:t>25</w:t>
      </w:r>
      <w:r>
        <w:rPr>
          <w:rFonts w:hint="default" w:ascii="Times New Roman" w:hAnsi="Times New Roman" w:eastAsia="仿宋_GB2312" w:cs="Times New Roman"/>
          <w:kern w:val="0"/>
          <w:sz w:val="36"/>
          <w:szCs w:val="36"/>
        </w:rPr>
        <w:t>日</w:t>
      </w:r>
    </w:p>
    <w:p w14:paraId="0B93A8BB">
      <w:pPr>
        <w:spacing w:line="700" w:lineRule="exact"/>
        <w:ind w:firstLine="849" w:firstLineChars="236"/>
        <w:jc w:val="left"/>
        <w:rPr>
          <w:rFonts w:hint="default" w:ascii="Times New Roman" w:hAnsi="Times New Roman" w:eastAsia="仿宋_GB2312" w:cs="Times New Roman"/>
          <w:kern w:val="0"/>
          <w:sz w:val="36"/>
          <w:szCs w:val="36"/>
        </w:rPr>
      </w:pPr>
    </w:p>
    <w:p w14:paraId="2E3477A5">
      <w:pPr>
        <w:spacing w:line="700" w:lineRule="exact"/>
        <w:ind w:firstLine="849" w:firstLineChars="236"/>
        <w:jc w:val="left"/>
        <w:rPr>
          <w:rFonts w:hint="default" w:ascii="Times New Roman" w:hAnsi="Times New Roman" w:eastAsia="仿宋_GB2312" w:cs="Times New Roman"/>
          <w:kern w:val="0"/>
          <w:sz w:val="36"/>
          <w:szCs w:val="36"/>
        </w:rPr>
      </w:pPr>
    </w:p>
    <w:p w14:paraId="3CA91F4B">
      <w:pPr>
        <w:spacing w:line="700" w:lineRule="exact"/>
        <w:ind w:firstLine="849" w:firstLineChars="236"/>
        <w:jc w:val="left"/>
        <w:rPr>
          <w:rFonts w:hint="default" w:ascii="Times New Roman" w:hAnsi="Times New Roman" w:eastAsia="仿宋_GB2312" w:cs="Times New Roman"/>
          <w:kern w:val="0"/>
          <w:sz w:val="36"/>
          <w:szCs w:val="36"/>
        </w:rPr>
      </w:pPr>
    </w:p>
    <w:p w14:paraId="3C77DF3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b w:val="0"/>
          <w:bCs w:val="0"/>
          <w:sz w:val="32"/>
          <w:szCs w:val="32"/>
          <w:lang w:val="en-US" w:eastAsia="zh-CN"/>
        </w:rPr>
      </w:pPr>
    </w:p>
    <w:p w14:paraId="508148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一、基本概况</w:t>
      </w:r>
    </w:p>
    <w:p w14:paraId="64924A50">
      <w:pPr>
        <w:spacing w:line="540" w:lineRule="exact"/>
        <w:ind w:firstLine="567" w:firstLineChars="181"/>
        <w:rPr>
          <w:rStyle w:val="7"/>
          <w:rFonts w:hint="default" w:ascii="Times New Roman" w:hAnsi="Times New Roman" w:eastAsia="楷体" w:cs="Times New Roman"/>
          <w:b/>
          <w:bCs w:val="0"/>
          <w:spacing w:val="-4"/>
          <w:sz w:val="32"/>
          <w:szCs w:val="32"/>
        </w:rPr>
      </w:pPr>
      <w:r>
        <w:rPr>
          <w:rStyle w:val="7"/>
          <w:rFonts w:hint="default" w:ascii="Times New Roman" w:hAnsi="Times New Roman" w:eastAsia="楷体" w:cs="Times New Roman"/>
          <w:b/>
          <w:bCs w:val="0"/>
          <w:spacing w:val="-4"/>
          <w:sz w:val="32"/>
          <w:szCs w:val="32"/>
          <w:lang w:val="en-US" w:eastAsia="zh-CN"/>
        </w:rPr>
        <w:t>(一)</w:t>
      </w:r>
      <w:r>
        <w:rPr>
          <w:rStyle w:val="7"/>
          <w:rFonts w:hint="default" w:ascii="Times New Roman" w:hAnsi="Times New Roman" w:eastAsia="楷体" w:cs="Times New Roman"/>
          <w:b/>
          <w:bCs w:val="0"/>
          <w:spacing w:val="-4"/>
          <w:sz w:val="32"/>
          <w:szCs w:val="32"/>
        </w:rPr>
        <w:t>部门单位基本情况</w:t>
      </w:r>
    </w:p>
    <w:p w14:paraId="6C3CFDB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lang w:val="en-US" w:eastAsia="zh-CN"/>
        </w:rPr>
      </w:pPr>
      <w:r>
        <w:rPr>
          <w:rFonts w:hint="default" w:ascii="Times New Roman" w:hAnsi="Times New Roman" w:eastAsia="仿宋" w:cs="Times New Roman"/>
          <w:b w:val="0"/>
          <w:bCs/>
          <w:sz w:val="32"/>
          <w:szCs w:val="32"/>
        </w:rPr>
        <w:t>新疆维吾尔自治区体育局</w:t>
      </w:r>
      <w:r>
        <w:rPr>
          <w:rFonts w:hint="default" w:ascii="Times New Roman" w:hAnsi="Times New Roman" w:eastAsia="仿宋" w:cs="Times New Roman"/>
          <w:b w:val="0"/>
          <w:bCs/>
          <w:sz w:val="32"/>
          <w:szCs w:val="32"/>
          <w:lang w:val="en-US" w:eastAsia="zh-CN"/>
        </w:rPr>
        <w:t>是自治区人民政府主管全区体育工作的职能部门，主要职责是：</w:t>
      </w:r>
    </w:p>
    <w:p w14:paraId="5FAF0A7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1.研究全区体育发展战略，协调区域性体育发展；负责推动多元化体育服务体系建设，推进体育公共服务和体育体制改革。</w:t>
      </w:r>
    </w:p>
    <w:p w14:paraId="0E0A42D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2.拟订全区体育事业发展规划和政策，起草有关法规规章草案，经批准后督促实施。</w:t>
      </w:r>
    </w:p>
    <w:p w14:paraId="34B71FF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3.统筹规划全区群众体育发展，负责推行全民健身计划，监督实施国家体育锻炼标准，推动国民体质监测和社会体育指导工作队伍制度建设；指导公共体育设施的建设，负责对公共体育设施的监督管理。</w:t>
      </w:r>
    </w:p>
    <w:p w14:paraId="21E3FAA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4.统筹规划全区竞技体育发展，设置体育运动项目，指导协调体育训练和体育竞赛，承办和参加全国性的运动竞赛，指导运动队伍建设，协调运动员社会保障工作。</w:t>
      </w:r>
    </w:p>
    <w:p w14:paraId="68C3ECA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5.统筹规划全区青少年体育发展，指导和推进青少年体育工作。</w:t>
      </w:r>
    </w:p>
    <w:p w14:paraId="46491D2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6.拟订全区体育产业发展规划、政策，规范体育服务管理，推动体育标准化建设；负责体育彩票发行管理。</w:t>
      </w:r>
    </w:p>
    <w:p w14:paraId="3920D3D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7.指导、管理全区体育外事有关工作，组织开展与国内外和港澳台的体育交流与合作，指导全区体育系统及民间体育交流活动，协调、指导、管理我区境内承办的国际性、商业性体育比赛和经批准开展的特殊体育经营活动。</w:t>
      </w:r>
    </w:p>
    <w:p w14:paraId="05A2AA8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8.组织开展体育领域重大科技研究、技术攻关和成果推广。</w:t>
      </w:r>
    </w:p>
    <w:p w14:paraId="33DE203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lang w:eastAsia="zh-CN"/>
        </w:rPr>
      </w:pPr>
      <w:r>
        <w:rPr>
          <w:rFonts w:hint="default" w:ascii="Times New Roman" w:hAnsi="Times New Roman" w:eastAsia="仿宋" w:cs="Times New Roman"/>
          <w:b w:val="0"/>
          <w:bCs/>
          <w:sz w:val="32"/>
          <w:szCs w:val="32"/>
        </w:rPr>
        <w:t>9.负责组织、协调、监督体育运动中的反兴奋剂工作</w:t>
      </w:r>
      <w:r>
        <w:rPr>
          <w:rFonts w:hint="default" w:ascii="Times New Roman" w:hAnsi="Times New Roman" w:eastAsia="仿宋" w:cs="Times New Roman"/>
          <w:b w:val="0"/>
          <w:bCs/>
          <w:sz w:val="32"/>
          <w:szCs w:val="32"/>
          <w:lang w:eastAsia="zh-CN"/>
        </w:rPr>
        <w:t>。</w:t>
      </w:r>
    </w:p>
    <w:p w14:paraId="089C0FF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7"/>
          <w:rFonts w:hint="default" w:ascii="Times New Roman" w:hAnsi="Times New Roman" w:eastAsia="仿宋" w:cs="Times New Roman"/>
          <w:b w:val="0"/>
          <w:spacing w:val="-4"/>
          <w:sz w:val="32"/>
          <w:szCs w:val="32"/>
          <w:lang w:eastAsia="zh-CN"/>
        </w:rPr>
      </w:pPr>
      <w:r>
        <w:rPr>
          <w:rFonts w:hint="default" w:ascii="Times New Roman" w:hAnsi="Times New Roman" w:eastAsia="仿宋" w:cs="Times New Roman"/>
          <w:b w:val="0"/>
          <w:bCs/>
          <w:sz w:val="32"/>
          <w:szCs w:val="32"/>
        </w:rPr>
        <w:t>10.承办自治区人民政府交办的其他事项</w:t>
      </w:r>
      <w:r>
        <w:rPr>
          <w:rStyle w:val="7"/>
          <w:rFonts w:hint="default" w:ascii="Times New Roman" w:hAnsi="Times New Roman" w:eastAsia="仿宋" w:cs="Times New Roman"/>
          <w:b w:val="0"/>
          <w:spacing w:val="-4"/>
          <w:sz w:val="32"/>
          <w:szCs w:val="32"/>
          <w:lang w:eastAsia="zh-CN"/>
        </w:rPr>
        <w:t>。</w:t>
      </w:r>
    </w:p>
    <w:p w14:paraId="2469B17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纳入自治区体育局部门预算的单位包括：自治区体育局本级及12家直属事业单位。12家直属事业单位</w:t>
      </w:r>
      <w:r>
        <w:rPr>
          <w:rFonts w:hint="default" w:ascii="Times New Roman" w:hAnsi="Times New Roman" w:eastAsia="仿宋" w:cs="Times New Roman"/>
          <w:b w:val="0"/>
          <w:bCs/>
          <w:sz w:val="32"/>
          <w:szCs w:val="32"/>
          <w:lang w:eastAsia="zh-CN"/>
        </w:rPr>
        <w:t>分别是</w:t>
      </w:r>
      <w:r>
        <w:rPr>
          <w:rFonts w:hint="default" w:ascii="Times New Roman" w:hAnsi="Times New Roman" w:eastAsia="仿宋" w:cs="Times New Roman"/>
          <w:b w:val="0"/>
          <w:bCs/>
          <w:sz w:val="32"/>
          <w:szCs w:val="32"/>
        </w:rPr>
        <w:t>：自治区体育局二宫体育训练中心、自治区体育局三屯碑体育训练中心、自治区体育局摔跤柔道运动管理中心、自治区体育局拳击运动管理中心、自治区足球运动训练中心、新疆体育职业技术学院、自治区体育局跆拳道武术气功管理中心、自治区体育局机关服务中心、自治区体育中心（新疆维吾尔自治区体育产业发展中心）、自治区社会体育和竞赛管理中心、自治区冬季运动训练中心。</w:t>
      </w:r>
    </w:p>
    <w:p w14:paraId="7ED25375">
      <w:pPr>
        <w:spacing w:line="540" w:lineRule="exact"/>
        <w:ind w:firstLine="567" w:firstLineChars="181"/>
        <w:rPr>
          <w:rStyle w:val="7"/>
          <w:rFonts w:hint="default" w:ascii="Times New Roman" w:hAnsi="Times New Roman" w:eastAsia="楷体" w:cs="Times New Roman"/>
          <w:b/>
          <w:bCs w:val="0"/>
          <w:spacing w:val="-4"/>
          <w:sz w:val="32"/>
          <w:szCs w:val="32"/>
          <w:highlight w:val="none"/>
          <w:lang w:val="en-US" w:eastAsia="zh-CN"/>
        </w:rPr>
      </w:pPr>
      <w:r>
        <w:rPr>
          <w:rStyle w:val="7"/>
          <w:rFonts w:hint="default" w:ascii="Times New Roman" w:hAnsi="Times New Roman" w:eastAsia="楷体" w:cs="Times New Roman"/>
          <w:b/>
          <w:bCs w:val="0"/>
          <w:spacing w:val="-4"/>
          <w:sz w:val="32"/>
          <w:szCs w:val="32"/>
          <w:highlight w:val="none"/>
          <w:lang w:val="en-US" w:eastAsia="zh-CN"/>
        </w:rPr>
        <w:t>(二)部门单位年度重点工作</w:t>
      </w:r>
    </w:p>
    <w:p w14:paraId="724CEFAD">
      <w:pPr>
        <w:spacing w:line="540" w:lineRule="exact"/>
        <w:ind w:firstLine="579" w:firstLineChars="181"/>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1.深入学习贯彻落实党的二十届三中全会精神。坚持把学习贯彻二十届三中全会精神，与学习贯彻习近平总书记关于新疆工作和体育工作的重要讲话、重要指示批示精神结合起来，与完整准确全面贯彻新时代党的治疆方略结合起来，与贯彻落实自治区党委十届历次全会精神结合起来，主动对标体育强国、体育强区建设要求，全面深化体育领域改革创新，积极推动体育大区向体育强区迈进。</w:t>
      </w:r>
    </w:p>
    <w:p w14:paraId="6B941092">
      <w:pPr>
        <w:spacing w:line="540" w:lineRule="exact"/>
        <w:ind w:firstLine="579" w:firstLineChars="181"/>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2.深入实施全民健身国家战略。统筹发挥好援疆政策、项目、人才等资源优势，重点围绕场馆、公园、小区、乡村等健身设施，加快推进“五个全覆盖”工作；以丰富体育赛事活动为重点，推动数字体育建设，打造“家门口的健身圈”，着力构建更高水平全民健身公共服务体系。</w:t>
      </w:r>
    </w:p>
    <w:p w14:paraId="180E87A6">
      <w:pPr>
        <w:spacing w:line="540" w:lineRule="exact"/>
        <w:ind w:firstLine="579" w:firstLineChars="181"/>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3.全面提升竞技体育综合实力。紧紧围绕服务国家备战奥运新周期总体目标，全面优化项目布局，筹办好自治区第二届冬季运动会，积极组织参赛全国青少年“三大球”比赛，全面备战参赛2025年全国第十五届运动会，力争取得优异成绩；落实好兴奋剂教育、检查、防范等各项制度，坚决做到兴奋剂问题“零容忍”“零出现”。</w:t>
      </w:r>
    </w:p>
    <w:p w14:paraId="5D53A413">
      <w:pPr>
        <w:spacing w:line="540" w:lineRule="exact"/>
        <w:ind w:firstLine="579" w:firstLineChars="181"/>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4.扎实推进青少年体育健康发展。全面深化体教融合，以抓好《自治区关于加快推动青少年足球高质量发展工作方案》等相关文件落实为重点，以加快推进伊犁、喀什足球青训体系建设试点工作为契机，探索体育人才培养、赛事体系、科学训练的体制机制，以点带面，统筹推动新疆青少年体育特别是“三大球”发展。</w:t>
      </w:r>
    </w:p>
    <w:p w14:paraId="426F0093">
      <w:pPr>
        <w:spacing w:line="540" w:lineRule="exact"/>
        <w:ind w:firstLine="579" w:firstLineChars="181"/>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5.推动体育产业提质增效。把体育赛事作为培育壮大新型消费增长点，突出抓好体育赛事、产业引导、基础设施、品牌培育、体育消费等重点项目。全力抓好《以冰雪运动高质量发展激发冰雪经济活力的若干意见》落实，按照新疆冰雪“三步走”发展战略，以冰雪场所设施为基础，大力发展冰雪运动，丰富冰雪赛事供给，助推经济高质量发展。</w:t>
      </w:r>
    </w:p>
    <w:p w14:paraId="6A7BF8E5">
      <w:pPr>
        <w:spacing w:line="540" w:lineRule="exact"/>
        <w:ind w:firstLine="579" w:firstLineChars="181"/>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6.深入实施体育文化润疆。精心筹备参赛全国自治区少数民族传统体育运动会；大力弘扬中华体育精神，实施“文化润疆”工程，充分发挥体育倡导现代文明生活方式，有形有感有效铸牢中华民族共同体意识。</w:t>
      </w:r>
    </w:p>
    <w:p w14:paraId="18EDF208">
      <w:pPr>
        <w:spacing w:line="540" w:lineRule="exact"/>
        <w:ind w:firstLine="579" w:firstLineChars="181"/>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7.全面深化体育交流合作。全面深化与“一带一路”沿线国家在科技、人才、文化、产业等方面的交流合作。全面落实《体育援疆三年行动方案（2024-2026年）》，抓好援疆政策、项目、资金、人才、科技落地见效。</w:t>
      </w:r>
    </w:p>
    <w:p w14:paraId="57F467A4">
      <w:pPr>
        <w:spacing w:line="540" w:lineRule="exact"/>
        <w:ind w:firstLine="579" w:firstLineChars="181"/>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8.坚持党的全面领导。不断加强党的建设，进一步完善基层党组织建设机制、党建业务互融互促机制、党风廉政建设落实机制和体育协会规范化机制。全面从严治党，一体推进不敢腐、不能腐、不想腐，营造风清气正的体育政治生态。</w:t>
      </w:r>
    </w:p>
    <w:p w14:paraId="51338741">
      <w:pPr>
        <w:spacing w:line="540" w:lineRule="exact"/>
        <w:ind w:firstLine="567" w:firstLineChars="181"/>
        <w:rPr>
          <w:rStyle w:val="7"/>
          <w:rFonts w:hint="default" w:ascii="Times New Roman" w:hAnsi="Times New Roman" w:eastAsia="楷体" w:cs="Times New Roman"/>
          <w:b/>
          <w:bCs w:val="0"/>
          <w:spacing w:val="-4"/>
          <w:sz w:val="32"/>
          <w:szCs w:val="32"/>
          <w:lang w:val="en-US" w:eastAsia="zh-CN"/>
        </w:rPr>
      </w:pPr>
      <w:r>
        <w:rPr>
          <w:rStyle w:val="7"/>
          <w:rFonts w:hint="default" w:ascii="Times New Roman" w:hAnsi="Times New Roman" w:eastAsia="楷体" w:cs="Times New Roman"/>
          <w:b/>
          <w:bCs w:val="0"/>
          <w:spacing w:val="-4"/>
          <w:sz w:val="32"/>
          <w:szCs w:val="32"/>
          <w:lang w:val="en-US" w:eastAsia="zh-CN"/>
        </w:rPr>
        <w:t>(三)部门单位整体预算规模及安排情况</w:t>
      </w:r>
    </w:p>
    <w:p w14:paraId="2CABC2AC">
      <w:pPr>
        <w:spacing w:line="540" w:lineRule="exact"/>
        <w:ind w:firstLine="579" w:firstLineChars="181"/>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 w:cs="Times New Roman"/>
          <w:sz w:val="32"/>
          <w:szCs w:val="32"/>
          <w:lang w:val="en-US" w:eastAsia="zh-CN"/>
        </w:rPr>
        <w:t>2025年度</w:t>
      </w:r>
      <w:r>
        <w:rPr>
          <w:rFonts w:hint="default" w:ascii="Times New Roman" w:hAnsi="Times New Roman" w:eastAsia="仿宋" w:cs="Times New Roman"/>
          <w:sz w:val="32"/>
          <w:szCs w:val="32"/>
          <w:lang w:eastAsia="zh-CN"/>
        </w:rPr>
        <w:t>自治区体育局</w:t>
      </w:r>
      <w:r>
        <w:rPr>
          <w:rFonts w:hint="default" w:ascii="Times New Roman" w:hAnsi="Times New Roman" w:eastAsia="仿宋" w:cs="Times New Roman"/>
          <w:sz w:val="32"/>
          <w:szCs w:val="32"/>
          <w:lang w:val="en-US" w:eastAsia="zh-CN"/>
        </w:rPr>
        <w:t>整体预</w:t>
      </w:r>
      <w:r>
        <w:rPr>
          <w:rFonts w:hint="default" w:ascii="Times New Roman" w:hAnsi="Times New Roman" w:eastAsia="仿宋" w:cs="Times New Roman"/>
          <w:sz w:val="32"/>
          <w:szCs w:val="32"/>
          <w:highlight w:val="none"/>
          <w:lang w:val="en-US" w:eastAsia="zh-CN"/>
        </w:rPr>
        <w:t>算规模63704.57万元，其中：</w:t>
      </w:r>
      <w:r>
        <w:rPr>
          <w:rFonts w:hint="default" w:ascii="Times New Roman" w:hAnsi="Times New Roman" w:eastAsia="仿宋" w:cs="Times New Roman"/>
          <w:sz w:val="32"/>
          <w:szCs w:val="32"/>
          <w:highlight w:val="none"/>
          <w:lang w:eastAsia="zh-CN"/>
        </w:rPr>
        <w:t>年初预算安排</w:t>
      </w:r>
      <w:r>
        <w:rPr>
          <w:rFonts w:hint="default" w:ascii="Times New Roman" w:hAnsi="Times New Roman" w:eastAsia="仿宋" w:cs="Times New Roman"/>
          <w:sz w:val="32"/>
          <w:szCs w:val="32"/>
          <w:highlight w:val="none"/>
          <w:lang w:val="en-US" w:eastAsia="zh-CN"/>
        </w:rPr>
        <w:t>60037.13</w:t>
      </w:r>
      <w:r>
        <w:rPr>
          <w:rFonts w:hint="default" w:ascii="Times New Roman" w:hAnsi="Times New Roman" w:eastAsia="仿宋" w:cs="Times New Roman"/>
          <w:sz w:val="32"/>
          <w:szCs w:val="32"/>
          <w:highlight w:val="none"/>
          <w:lang w:eastAsia="zh-CN"/>
        </w:rPr>
        <w:t>万元，</w:t>
      </w:r>
      <w:r>
        <w:rPr>
          <w:rFonts w:hint="default" w:ascii="Times New Roman" w:hAnsi="Times New Roman" w:eastAsia="仿宋" w:cs="Times New Roman"/>
          <w:sz w:val="32"/>
          <w:szCs w:val="32"/>
          <w:highlight w:val="none"/>
          <w:lang w:val="en-US" w:eastAsia="zh-CN"/>
        </w:rPr>
        <w:t>年中追加3667.44万元。预算资金安排情况：自治区本级财政资金55891.42万元，上级转移支付资金2390.81万元，其他资金5422.34万元。资金主要用于部门人员经费、公用经费、用于支持体育事业发展的专项业务经费，如全民健身赛事活动经费、体育赛事备战参赛经费、体育场馆免费或低收费开放补助经费等。</w:t>
      </w:r>
    </w:p>
    <w:p w14:paraId="7F6C88B1">
      <w:pPr>
        <w:spacing w:line="540" w:lineRule="exact"/>
        <w:ind w:firstLine="579" w:firstLineChars="18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二、部门单位整体支出管理及使用情况</w:t>
      </w:r>
    </w:p>
    <w:p w14:paraId="26C0BC60">
      <w:pPr>
        <w:spacing w:line="540" w:lineRule="exact"/>
        <w:ind w:firstLine="579" w:firstLineChars="181"/>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（一）</w:t>
      </w:r>
      <w:r>
        <w:rPr>
          <w:rStyle w:val="7"/>
          <w:rFonts w:hint="default" w:ascii="Times New Roman" w:hAnsi="Times New Roman" w:eastAsia="楷体" w:cs="Times New Roman"/>
          <w:b w:val="0"/>
          <w:spacing w:val="-4"/>
          <w:sz w:val="32"/>
          <w:szCs w:val="32"/>
          <w:highlight w:val="none"/>
        </w:rPr>
        <w:t>整体支出规模</w:t>
      </w:r>
    </w:p>
    <w:p w14:paraId="5C761644">
      <w:pPr>
        <w:spacing w:line="540" w:lineRule="exact"/>
        <w:ind w:firstLine="579" w:firstLineChars="181"/>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2025年自治区体育局整体支出规模57299.99万元，其中：基本支出17919.81万元，特定目标类项目支出34407.53万元，其他资金支出4972.65万元，预算执行率89.95%。</w:t>
      </w:r>
    </w:p>
    <w:p w14:paraId="386FE1CF">
      <w:pPr>
        <w:spacing w:line="540" w:lineRule="exact"/>
        <w:ind w:firstLine="564" w:firstLineChars="181"/>
        <w:rPr>
          <w:rStyle w:val="7"/>
          <w:rFonts w:hint="default" w:ascii="Times New Roman" w:hAnsi="Times New Roman" w:eastAsia="楷体" w:cs="Times New Roman"/>
          <w:b w:val="0"/>
          <w:spacing w:val="-4"/>
          <w:sz w:val="32"/>
          <w:szCs w:val="32"/>
          <w:highlight w:val="none"/>
          <w:lang w:eastAsia="zh-CN"/>
        </w:rPr>
      </w:pPr>
      <w:r>
        <w:rPr>
          <w:rStyle w:val="7"/>
          <w:rFonts w:hint="default" w:ascii="Times New Roman" w:hAnsi="Times New Roman" w:eastAsia="楷体" w:cs="Times New Roman"/>
          <w:b w:val="0"/>
          <w:spacing w:val="-4"/>
          <w:sz w:val="32"/>
          <w:szCs w:val="32"/>
          <w:highlight w:val="none"/>
          <w:lang w:eastAsia="zh-CN"/>
        </w:rPr>
        <w:t>（二）资金投入、</w:t>
      </w:r>
      <w:r>
        <w:rPr>
          <w:rStyle w:val="7"/>
          <w:rFonts w:hint="default" w:ascii="Times New Roman" w:hAnsi="Times New Roman" w:eastAsia="楷体" w:cs="Times New Roman"/>
          <w:b w:val="0"/>
          <w:spacing w:val="-4"/>
          <w:sz w:val="32"/>
          <w:szCs w:val="32"/>
          <w:highlight w:val="none"/>
        </w:rPr>
        <w:t>管理</w:t>
      </w:r>
      <w:r>
        <w:rPr>
          <w:rStyle w:val="7"/>
          <w:rFonts w:hint="default" w:ascii="Times New Roman" w:hAnsi="Times New Roman" w:eastAsia="楷体" w:cs="Times New Roman"/>
          <w:b w:val="0"/>
          <w:spacing w:val="-4"/>
          <w:sz w:val="32"/>
          <w:szCs w:val="32"/>
          <w:highlight w:val="none"/>
          <w:lang w:eastAsia="zh-CN"/>
        </w:rPr>
        <w:t>和使用情况</w:t>
      </w:r>
    </w:p>
    <w:p w14:paraId="6DE004C9">
      <w:pPr>
        <w:spacing w:line="540" w:lineRule="exact"/>
        <w:ind w:firstLine="579" w:firstLineChars="181"/>
        <w:rPr>
          <w:rFonts w:hint="default" w:ascii="Times New Roman" w:hAnsi="Times New Roman" w:eastAsia="仿宋" w:cs="Times New Roman"/>
          <w:b w:val="0"/>
          <w:bCs/>
          <w:sz w:val="32"/>
          <w:szCs w:val="32"/>
          <w:highlight w:val="none"/>
          <w:lang w:eastAsia="zh-CN"/>
        </w:rPr>
      </w:pPr>
      <w:r>
        <w:rPr>
          <w:rFonts w:hint="default" w:ascii="Times New Roman" w:hAnsi="Times New Roman" w:eastAsia="仿宋" w:cs="Times New Roman"/>
          <w:b w:val="0"/>
          <w:bCs/>
          <w:sz w:val="32"/>
          <w:szCs w:val="32"/>
          <w:highlight w:val="none"/>
          <w:lang w:val="en-US" w:eastAsia="zh-CN"/>
        </w:rPr>
        <w:t>财政拨款基本支出投入18370.94万元，实际使用</w:t>
      </w:r>
      <w:r>
        <w:rPr>
          <w:rFonts w:hint="default" w:ascii="Times New Roman" w:hAnsi="Times New Roman" w:eastAsia="仿宋" w:cs="Times New Roman"/>
          <w:sz w:val="32"/>
          <w:szCs w:val="32"/>
          <w:highlight w:val="none"/>
          <w:lang w:val="en-US" w:eastAsia="zh-CN"/>
        </w:rPr>
        <w:t>17919.81万元，主要</w:t>
      </w:r>
      <w:r>
        <w:rPr>
          <w:rFonts w:hint="default" w:ascii="Times New Roman" w:hAnsi="Times New Roman" w:eastAsia="仿宋" w:cs="Times New Roman"/>
          <w:b w:val="0"/>
          <w:bCs/>
          <w:sz w:val="32"/>
          <w:szCs w:val="32"/>
          <w:highlight w:val="none"/>
        </w:rPr>
        <w:t>用于保障部门单位基本人员支出和公用经费支出</w:t>
      </w:r>
      <w:r>
        <w:rPr>
          <w:rFonts w:hint="default" w:ascii="Times New Roman" w:hAnsi="Times New Roman" w:eastAsia="仿宋" w:cs="Times New Roman"/>
          <w:b w:val="0"/>
          <w:bCs/>
          <w:sz w:val="32"/>
          <w:szCs w:val="32"/>
          <w:highlight w:val="none"/>
          <w:lang w:eastAsia="zh-CN"/>
        </w:rPr>
        <w:t>。</w:t>
      </w:r>
    </w:p>
    <w:p w14:paraId="4BED089F">
      <w:pPr>
        <w:spacing w:line="540" w:lineRule="exact"/>
        <w:ind w:firstLine="579" w:firstLineChars="181"/>
        <w:rPr>
          <w:rFonts w:hint="default" w:ascii="Times New Roman" w:hAnsi="Times New Roman" w:eastAsia="仿宋" w:cs="Times New Roman"/>
          <w:b w:val="0"/>
          <w:bCs/>
          <w:sz w:val="32"/>
          <w:szCs w:val="32"/>
          <w:highlight w:val="none"/>
          <w:lang w:eastAsia="zh-CN"/>
        </w:rPr>
      </w:pPr>
      <w:r>
        <w:rPr>
          <w:rFonts w:hint="default" w:ascii="Times New Roman" w:hAnsi="Times New Roman" w:eastAsia="仿宋" w:cs="Times New Roman"/>
          <w:b w:val="0"/>
          <w:bCs/>
          <w:sz w:val="32"/>
          <w:szCs w:val="32"/>
          <w:highlight w:val="none"/>
          <w:lang w:val="en-US" w:eastAsia="zh-CN"/>
        </w:rPr>
        <w:t>财政拨款</w:t>
      </w:r>
      <w:r>
        <w:rPr>
          <w:rFonts w:hint="default" w:ascii="Times New Roman" w:hAnsi="Times New Roman" w:eastAsia="仿宋" w:cs="Times New Roman"/>
          <w:sz w:val="32"/>
          <w:szCs w:val="32"/>
          <w:highlight w:val="none"/>
          <w:lang w:val="en-US" w:eastAsia="zh-CN"/>
        </w:rPr>
        <w:t>特定目标类项目投入39911.29万元，</w:t>
      </w:r>
      <w:r>
        <w:rPr>
          <w:rFonts w:hint="default" w:ascii="Times New Roman" w:hAnsi="Times New Roman" w:eastAsia="仿宋" w:cs="Times New Roman"/>
          <w:b w:val="0"/>
          <w:bCs/>
          <w:sz w:val="32"/>
          <w:szCs w:val="32"/>
          <w:highlight w:val="none"/>
          <w:lang w:val="en-US" w:eastAsia="zh-CN"/>
        </w:rPr>
        <w:t>实际使用</w:t>
      </w:r>
      <w:r>
        <w:rPr>
          <w:rFonts w:hint="default" w:ascii="Times New Roman" w:hAnsi="Times New Roman" w:eastAsia="仿宋" w:cs="Times New Roman"/>
          <w:sz w:val="32"/>
          <w:szCs w:val="32"/>
          <w:highlight w:val="none"/>
          <w:lang w:val="en-US" w:eastAsia="zh-CN"/>
        </w:rPr>
        <w:t>34407.53万元，主要用于</w:t>
      </w:r>
      <w:r>
        <w:rPr>
          <w:rFonts w:hint="default" w:ascii="Times New Roman" w:hAnsi="Times New Roman" w:eastAsia="仿宋" w:cs="Times New Roman"/>
          <w:b w:val="0"/>
          <w:bCs/>
          <w:sz w:val="32"/>
          <w:szCs w:val="32"/>
          <w:highlight w:val="none"/>
        </w:rPr>
        <w:t>保障各训</w:t>
      </w:r>
      <w:r>
        <w:rPr>
          <w:rFonts w:hint="default" w:ascii="Times New Roman" w:hAnsi="Times New Roman" w:eastAsia="仿宋" w:cs="Times New Roman"/>
          <w:b w:val="0"/>
          <w:bCs/>
          <w:sz w:val="32"/>
          <w:szCs w:val="32"/>
        </w:rPr>
        <w:t>练单位</w:t>
      </w:r>
      <w:r>
        <w:rPr>
          <w:rFonts w:hint="default" w:ascii="Times New Roman" w:hAnsi="Times New Roman" w:eastAsia="仿宋" w:cs="Times New Roman"/>
          <w:b w:val="0"/>
          <w:bCs/>
          <w:sz w:val="32"/>
          <w:szCs w:val="32"/>
          <w:lang w:eastAsia="zh-CN"/>
        </w:rPr>
        <w:t>的</w:t>
      </w:r>
      <w:r>
        <w:rPr>
          <w:rFonts w:hint="default" w:ascii="Times New Roman" w:hAnsi="Times New Roman" w:eastAsia="仿宋" w:cs="Times New Roman"/>
          <w:b w:val="0"/>
          <w:bCs/>
          <w:sz w:val="32"/>
          <w:szCs w:val="32"/>
        </w:rPr>
        <w:t>运动</w:t>
      </w:r>
      <w:r>
        <w:rPr>
          <w:rFonts w:hint="default" w:ascii="Times New Roman" w:hAnsi="Times New Roman" w:eastAsia="仿宋" w:cs="Times New Roman"/>
          <w:b w:val="0"/>
          <w:bCs/>
          <w:sz w:val="32"/>
          <w:szCs w:val="32"/>
          <w:lang w:eastAsia="zh-CN"/>
        </w:rPr>
        <w:t>员、</w:t>
      </w:r>
      <w:r>
        <w:rPr>
          <w:rFonts w:hint="default" w:ascii="Times New Roman" w:hAnsi="Times New Roman" w:eastAsia="仿宋" w:cs="Times New Roman"/>
          <w:b w:val="0"/>
          <w:bCs/>
          <w:sz w:val="32"/>
          <w:szCs w:val="32"/>
        </w:rPr>
        <w:t>教练员等人员的伙食供应、津贴及</w:t>
      </w:r>
      <w:r>
        <w:rPr>
          <w:rFonts w:hint="default" w:ascii="Times New Roman" w:hAnsi="Times New Roman" w:eastAsia="仿宋" w:cs="Times New Roman"/>
          <w:b w:val="0"/>
          <w:bCs/>
          <w:sz w:val="32"/>
          <w:szCs w:val="32"/>
          <w:lang w:eastAsia="zh-CN"/>
        </w:rPr>
        <w:t>成绩</w:t>
      </w:r>
      <w:r>
        <w:rPr>
          <w:rFonts w:hint="default" w:ascii="Times New Roman" w:hAnsi="Times New Roman" w:eastAsia="仿宋" w:cs="Times New Roman"/>
          <w:b w:val="0"/>
          <w:bCs/>
          <w:sz w:val="32"/>
          <w:szCs w:val="32"/>
        </w:rPr>
        <w:t>奖金</w:t>
      </w:r>
      <w:r>
        <w:rPr>
          <w:rFonts w:hint="default" w:ascii="Times New Roman" w:hAnsi="Times New Roman" w:eastAsia="仿宋" w:cs="Times New Roman"/>
          <w:b w:val="0"/>
          <w:bCs/>
          <w:sz w:val="32"/>
          <w:szCs w:val="32"/>
          <w:lang w:eastAsia="zh-CN"/>
        </w:rPr>
        <w:t>；</w:t>
      </w:r>
      <w:r>
        <w:rPr>
          <w:rFonts w:hint="default" w:ascii="Times New Roman" w:hAnsi="Times New Roman" w:eastAsia="仿宋" w:cs="Times New Roman"/>
          <w:b w:val="0"/>
          <w:bCs/>
          <w:sz w:val="32"/>
          <w:szCs w:val="32"/>
        </w:rPr>
        <w:t>各项体育赛事备战及参赛工作</w:t>
      </w:r>
      <w:r>
        <w:rPr>
          <w:rFonts w:hint="default" w:ascii="Times New Roman" w:hAnsi="Times New Roman" w:eastAsia="仿宋" w:cs="Times New Roman"/>
          <w:b w:val="0"/>
          <w:bCs/>
          <w:sz w:val="32"/>
          <w:szCs w:val="32"/>
          <w:lang w:eastAsia="zh-CN"/>
        </w:rPr>
        <w:t>；</w:t>
      </w:r>
      <w:r>
        <w:rPr>
          <w:rFonts w:hint="default" w:ascii="Times New Roman" w:hAnsi="Times New Roman" w:eastAsia="仿宋" w:cs="Times New Roman"/>
          <w:b w:val="0"/>
          <w:bCs/>
          <w:sz w:val="32"/>
          <w:szCs w:val="32"/>
          <w:lang w:val="en-US" w:eastAsia="zh-CN"/>
        </w:rPr>
        <w:t>保障</w:t>
      </w:r>
      <w:r>
        <w:rPr>
          <w:rFonts w:hint="default" w:ascii="Times New Roman" w:hAnsi="Times New Roman" w:eastAsia="仿宋" w:cs="Times New Roman"/>
          <w:b w:val="0"/>
          <w:bCs/>
          <w:sz w:val="32"/>
          <w:szCs w:val="32"/>
        </w:rPr>
        <w:t>本年度群众体育、青少年体育、体育政策法规与科教宣传、体育产业、登山运动服务、体育场馆运营维护、免费低收费开放等各项工作任务</w:t>
      </w:r>
      <w:r>
        <w:rPr>
          <w:rFonts w:hint="default" w:ascii="Times New Roman" w:hAnsi="Times New Roman" w:eastAsia="仿宋" w:cs="Times New Roman"/>
          <w:b w:val="0"/>
          <w:bCs/>
          <w:sz w:val="32"/>
          <w:szCs w:val="32"/>
          <w:lang w:eastAsia="zh-CN"/>
        </w:rPr>
        <w:t>；</w:t>
      </w:r>
      <w:r>
        <w:rPr>
          <w:rFonts w:hint="default" w:ascii="Times New Roman" w:hAnsi="Times New Roman" w:eastAsia="仿宋" w:cs="Times New Roman"/>
          <w:b w:val="0"/>
          <w:bCs/>
          <w:sz w:val="32"/>
          <w:szCs w:val="32"/>
        </w:rPr>
        <w:t>体育职业</w:t>
      </w:r>
      <w:r>
        <w:rPr>
          <w:rFonts w:hint="default" w:ascii="Times New Roman" w:hAnsi="Times New Roman" w:eastAsia="仿宋" w:cs="Times New Roman"/>
          <w:b w:val="0"/>
          <w:bCs/>
          <w:sz w:val="32"/>
          <w:szCs w:val="32"/>
          <w:lang w:eastAsia="zh-CN"/>
        </w:rPr>
        <w:t>技术学院</w:t>
      </w:r>
      <w:r>
        <w:rPr>
          <w:rFonts w:hint="default" w:ascii="Times New Roman" w:hAnsi="Times New Roman" w:eastAsia="仿宋" w:cs="Times New Roman"/>
          <w:b w:val="0"/>
          <w:bCs/>
          <w:sz w:val="32"/>
          <w:szCs w:val="32"/>
          <w:highlight w:val="none"/>
          <w:lang w:eastAsia="zh-CN"/>
        </w:rPr>
        <w:t>的</w:t>
      </w:r>
      <w:r>
        <w:rPr>
          <w:rFonts w:hint="default" w:ascii="Times New Roman" w:hAnsi="Times New Roman" w:eastAsia="仿宋" w:cs="Times New Roman"/>
          <w:b w:val="0"/>
          <w:bCs/>
          <w:sz w:val="32"/>
          <w:szCs w:val="32"/>
          <w:highlight w:val="none"/>
        </w:rPr>
        <w:t>教育</w:t>
      </w:r>
      <w:r>
        <w:rPr>
          <w:rFonts w:hint="default" w:ascii="Times New Roman" w:hAnsi="Times New Roman" w:eastAsia="仿宋" w:cs="Times New Roman"/>
          <w:b w:val="0"/>
          <w:bCs/>
          <w:sz w:val="32"/>
          <w:szCs w:val="32"/>
          <w:highlight w:val="none"/>
          <w:lang w:eastAsia="zh-CN"/>
        </w:rPr>
        <w:t>经费支出等。</w:t>
      </w:r>
    </w:p>
    <w:p w14:paraId="02D2C30E">
      <w:pPr>
        <w:spacing w:line="540" w:lineRule="exact"/>
        <w:ind w:firstLine="579" w:firstLineChars="181"/>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其他资金投入5422.34万元，</w:t>
      </w:r>
      <w:r>
        <w:rPr>
          <w:rFonts w:hint="default" w:ascii="Times New Roman" w:hAnsi="Times New Roman" w:eastAsia="仿宋" w:cs="Times New Roman"/>
          <w:b w:val="0"/>
          <w:bCs/>
          <w:sz w:val="32"/>
          <w:szCs w:val="32"/>
          <w:highlight w:val="none"/>
          <w:lang w:val="en-US" w:eastAsia="zh-CN"/>
        </w:rPr>
        <w:t>实际使用</w:t>
      </w:r>
      <w:r>
        <w:rPr>
          <w:rFonts w:hint="default" w:ascii="Times New Roman" w:hAnsi="Times New Roman" w:eastAsia="仿宋" w:cs="Times New Roman"/>
          <w:sz w:val="32"/>
          <w:szCs w:val="32"/>
          <w:highlight w:val="none"/>
          <w:lang w:val="en-US" w:eastAsia="zh-CN"/>
        </w:rPr>
        <w:t>4972.65万元，经费来源于新疆体育中心（差额预算单位）经营收入、新疆体育职业技术学院（差额预算单位）学生学费、住宿费收入，用于其弥补财政资金保障不足的人员经费和公用开支；自治区体育局机关、自治区体育局三屯碑体育训练中心上级拨款和补助资金，拳击运动管理中心、摔跤柔道运动管理中心收取其他单位前来训练交流食宿费用于相关支出。</w:t>
      </w:r>
    </w:p>
    <w:p w14:paraId="714952A8">
      <w:pPr>
        <w:spacing w:line="540" w:lineRule="exact"/>
        <w:ind w:firstLine="579" w:firstLineChars="181"/>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val="0"/>
          <w:bCs/>
          <w:sz w:val="32"/>
          <w:szCs w:val="32"/>
          <w:highlight w:val="none"/>
        </w:rPr>
        <w:t>资金管理按照财政部《预算管理一体化规范（试行）》（财办〔2020〕13号）文件精神执行，资金使用支出严格按照《自治区体育局财务管理办法》执行</w:t>
      </w:r>
      <w:r>
        <w:rPr>
          <w:rFonts w:hint="default" w:ascii="Times New Roman" w:hAnsi="Times New Roman" w:eastAsia="仿宋" w:cs="Times New Roman"/>
          <w:b w:val="0"/>
          <w:bCs/>
          <w:sz w:val="32"/>
          <w:szCs w:val="32"/>
          <w:highlight w:val="none"/>
          <w:lang w:eastAsia="zh-CN"/>
        </w:rPr>
        <w:t>。</w:t>
      </w:r>
    </w:p>
    <w:p w14:paraId="1546623C">
      <w:pPr>
        <w:spacing w:line="540" w:lineRule="exact"/>
        <w:ind w:firstLine="564" w:firstLineChars="181"/>
        <w:rPr>
          <w:rStyle w:val="7"/>
          <w:rFonts w:hint="default" w:ascii="Times New Roman" w:hAnsi="Times New Roman" w:eastAsia="楷体" w:cs="Times New Roman"/>
          <w:b w:val="0"/>
          <w:spacing w:val="-4"/>
          <w:sz w:val="32"/>
          <w:szCs w:val="32"/>
          <w:highlight w:val="none"/>
          <w:lang w:val="en-US" w:eastAsia="zh-CN"/>
        </w:rPr>
      </w:pPr>
      <w:r>
        <w:rPr>
          <w:rStyle w:val="7"/>
          <w:rFonts w:hint="default" w:ascii="Times New Roman" w:hAnsi="Times New Roman" w:eastAsia="楷体" w:cs="Times New Roman"/>
          <w:b w:val="0"/>
          <w:spacing w:val="-4"/>
          <w:sz w:val="32"/>
          <w:szCs w:val="32"/>
          <w:lang w:val="en-US" w:eastAsia="zh-CN"/>
        </w:rPr>
        <w:t>（三）</w:t>
      </w:r>
      <w:r>
        <w:rPr>
          <w:rStyle w:val="7"/>
          <w:rFonts w:hint="default" w:ascii="Times New Roman" w:hAnsi="Times New Roman" w:eastAsia="楷体" w:cs="Times New Roman"/>
          <w:b w:val="0"/>
          <w:spacing w:val="-4"/>
          <w:sz w:val="32"/>
          <w:szCs w:val="32"/>
          <w:highlight w:val="none"/>
          <w:lang w:eastAsia="zh-CN"/>
        </w:rPr>
        <w:t>取得的效益</w:t>
      </w:r>
    </w:p>
    <w:p w14:paraId="6E86B431">
      <w:pPr>
        <w:spacing w:line="540" w:lineRule="exact"/>
        <w:ind w:firstLine="579" w:firstLineChars="181"/>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highlight w:val="none"/>
          <w:lang w:val="en-US" w:eastAsia="zh-CN"/>
        </w:rPr>
        <w:t>2025年，自治区体育局贯彻</w:t>
      </w:r>
      <w:r>
        <w:rPr>
          <w:rFonts w:hint="default" w:ascii="Times New Roman" w:hAnsi="Times New Roman" w:eastAsia="仿宋" w:cs="Times New Roman"/>
          <w:sz w:val="32"/>
          <w:szCs w:val="32"/>
          <w:lang w:val="en-US" w:eastAsia="zh-CN"/>
        </w:rPr>
        <w:t>落实自治区党委、人民政府关于体育工作的各项要求，聚焦体育强国、体育强区建设，推动体育工作向好发展，体育事业发展迈出了新步伐、取得了新成效。</w:t>
      </w:r>
    </w:p>
    <w:p w14:paraId="09763410">
      <w:pPr>
        <w:spacing w:line="540" w:lineRule="exact"/>
        <w:ind w:firstLine="581" w:firstLineChars="181"/>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1.紧盯短板和缺口，加快完善全民健身场地设施。</w:t>
      </w:r>
      <w:r>
        <w:rPr>
          <w:rFonts w:hint="default" w:ascii="Times New Roman" w:hAnsi="Times New Roman" w:eastAsia="仿宋" w:cs="Times New Roman"/>
          <w:b w:val="0"/>
          <w:bCs w:val="0"/>
          <w:sz w:val="32"/>
          <w:szCs w:val="32"/>
          <w:lang w:val="en-US" w:eastAsia="zh-CN"/>
        </w:rPr>
        <w:t>今年以来持续完善全民健身场地设施，先后布局国球进社区、公园项目107个，建设小型体育公园、小型健身中心项目4个，建设室外群众滑冰场8个；实施45个乡镇（街道）场地器材补短板项目。全疆共107个大型体育场馆享受免费低收费补助，面向群众开放，积极协调教育部门推动1200多所中小学体育场地对群众开放，为各族群众参与全民健身提供了重要活动阵地。</w:t>
      </w:r>
    </w:p>
    <w:p w14:paraId="7D7FD444">
      <w:pPr>
        <w:numPr>
          <w:ilvl w:val="0"/>
          <w:numId w:val="0"/>
        </w:numPr>
        <w:spacing w:line="540" w:lineRule="exact"/>
        <w:ind w:firstLine="643" w:firstLineChars="200"/>
        <w:rPr>
          <w:rFonts w:hint="default" w:ascii="Times New Roman" w:hAnsi="Times New Roman" w:eastAsia="仿宋" w:cs="Times New Roman"/>
          <w:b w:val="0"/>
          <w:bCs w:val="0"/>
          <w:sz w:val="32"/>
          <w:szCs w:val="32"/>
          <w:lang w:val="en-US" w:eastAsia="zh-CN"/>
        </w:rPr>
      </w:pPr>
      <w:r>
        <w:rPr>
          <w:rFonts w:hint="default" w:ascii="Times New Roman" w:hAnsi="Times New Roman" w:eastAsia="仿宋" w:cs="Times New Roman"/>
          <w:b/>
          <w:bCs/>
          <w:sz w:val="32"/>
          <w:szCs w:val="32"/>
          <w:lang w:val="en-US" w:eastAsia="zh-CN"/>
        </w:rPr>
        <w:t>2.拓宽模式和思路，健全群众赛事活动体系。</w:t>
      </w:r>
      <w:r>
        <w:rPr>
          <w:rFonts w:hint="default" w:ascii="Times New Roman" w:hAnsi="Times New Roman" w:eastAsia="仿宋" w:cs="Times New Roman"/>
          <w:b w:val="0"/>
          <w:bCs w:val="0"/>
          <w:sz w:val="32"/>
          <w:szCs w:val="32"/>
          <w:lang w:val="en-US" w:eastAsia="zh-CN"/>
        </w:rPr>
        <w:t>积极组织开展全民健身大拜年、户外运动大赛、社区运动会等系列活动。全疆范围内累计开展各类赛事活动2.5万场次，参与总人数超205.7万人次，在国家全民健身信息平台赛事活动排名中名列第二。持续举办新疆是个好地方·2025年石榴籽杯新疆群众“三大球”联赛，完善自治区、地（州、市）、县（市、区）、乡镇、村五级联动的群众“三大球”赛事体系。自治区第二届冬运会期间，开展群众类8个竞赛项目和1个嘉年华活动，参与人数超过1.5万人次；持续举办兵地融合业余篮球邀请赛，来自全疆各地州市、兵团各师市以及油田企业24支队伍参加比赛，有力推动了兵地融合发展；成功举办第二届“一带一路”国际雪地排球邀请赛，来自法国、哈萨克斯坦等“一带一路”沿线国家和地区14支队伍参赛。</w:t>
      </w:r>
    </w:p>
    <w:p w14:paraId="39FCC85D">
      <w:pPr>
        <w:numPr>
          <w:ilvl w:val="0"/>
          <w:numId w:val="0"/>
        </w:numPr>
        <w:spacing w:line="540" w:lineRule="exact"/>
        <w:ind w:firstLine="643"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3.竞技体育持续发力，力争取得优异成绩。</w:t>
      </w:r>
      <w:r>
        <w:rPr>
          <w:rFonts w:hint="default" w:ascii="Times New Roman" w:hAnsi="Times New Roman" w:eastAsia="仿宋" w:cs="Times New Roman"/>
          <w:sz w:val="32"/>
          <w:szCs w:val="32"/>
          <w:lang w:val="en-US" w:eastAsia="zh-CN"/>
        </w:rPr>
        <w:t>紧紧聚焦全力备战参赛第十五届全国运动会目标任务，精心组织、科学备战，最终斩获11金16银18铜，奖牌总数超过上届，位列全国第20名，西北五省第二，获得实现了比赛成绩和精神文明双丰收。</w:t>
      </w:r>
    </w:p>
    <w:p w14:paraId="28D6D846">
      <w:pPr>
        <w:numPr>
          <w:ilvl w:val="0"/>
          <w:numId w:val="0"/>
        </w:numPr>
        <w:spacing w:line="540" w:lineRule="exact"/>
        <w:ind w:firstLine="643"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4.高质量举办国际、国内大型赛事活动。</w:t>
      </w:r>
      <w:r>
        <w:rPr>
          <w:rFonts w:hint="default" w:ascii="Times New Roman" w:hAnsi="Times New Roman" w:eastAsia="仿宋" w:cs="Times New Roman"/>
          <w:sz w:val="32"/>
          <w:szCs w:val="32"/>
          <w:lang w:val="en-US" w:eastAsia="zh-CN"/>
        </w:rPr>
        <w:t>2025年成功举办8场国际赛事、7场国内赛事和1场自治区级综合性赛事。我区6名运动员入选中国体育代表团，参赛哈尔滨第九届亚洲冬季运动会，参加速度滑冰、越野滑雪、滑雪登山项目的比赛，获得5金2银4铜和1个第四名，实现了新疆运动员参加亚冬会奖牌零的突破，6名运动员全部获得奖牌，实现了为国争光目标，为新疆各族群众争得了荣誉。</w:t>
      </w:r>
    </w:p>
    <w:p w14:paraId="6D2BD39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5.青少年体育赛事活动丰富多彩。</w:t>
      </w:r>
      <w:r>
        <w:rPr>
          <w:rFonts w:hint="default" w:ascii="Times New Roman" w:hAnsi="Times New Roman" w:eastAsia="仿宋" w:cs="Times New Roman"/>
          <w:sz w:val="32"/>
          <w:szCs w:val="32"/>
          <w:lang w:val="en-US" w:eastAsia="zh-CN"/>
        </w:rPr>
        <w:t>举办2025年自治区青少年锦标赛（设20个大项）及青少年足球联赛，参赛人数突破1.2万人次，较上年增长20%；面向全疆开展“奔跑吧·少年”系列活动1300余场，吸引25万人次青少年参与；组队征战第二届全国学生（青年）运动会，斩获8金5银13铜，青少年竞技体育实力显著提升。</w:t>
      </w:r>
    </w:p>
    <w:p w14:paraId="7C1095C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6.体育带动旅游拉动消费促进经济发展成效明显。</w:t>
      </w:r>
      <w:r>
        <w:rPr>
          <w:rFonts w:hint="default" w:ascii="Times New Roman" w:hAnsi="Times New Roman" w:eastAsia="仿宋" w:cs="Times New Roman"/>
          <w:b w:val="0"/>
          <w:bCs w:val="0"/>
          <w:sz w:val="32"/>
          <w:szCs w:val="32"/>
          <w:lang w:val="en-US" w:eastAsia="zh-CN"/>
        </w:rPr>
        <w:t>将体育融入自治区“十大产业集群”，探索推进体育赛事成为新的经济增长点，打造“跟着赛事去旅行”品牌，成功举办环塔拉力赛、环赛里木湖自行车赛等赛事活动，激发体育消费活力不断增强，有效带动了旅游、餐饮、食宿、休闲、娱乐等全产业链发展。2025中国环塔国际拉力赛期间，5月16日至6月2日赛事途径地共吸引游客411.09万人次，较上年同期增长79.51%，实现旅游收入29.44亿元，较上年同期增长64.46%。克孜勒苏柯尔克孜自治州慕士塔格登山运动户外运动目的地、阿勒泰地区冰雪运动户外运动目的地入选国家第一批高质量户外运动目的地建设名单</w:t>
      </w:r>
      <w:r>
        <w:rPr>
          <w:rFonts w:hint="default" w:ascii="Times New Roman" w:hAnsi="Times New Roman" w:eastAsia="仿宋" w:cs="Times New Roman"/>
          <w:sz w:val="32"/>
          <w:szCs w:val="32"/>
          <w:lang w:val="en-US" w:eastAsia="zh-CN"/>
        </w:rPr>
        <w:t>。</w:t>
      </w:r>
    </w:p>
    <w:p w14:paraId="76F805C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 w:cs="Times New Roman"/>
          <w:b w:val="0"/>
          <w:bCs w:val="0"/>
          <w:sz w:val="32"/>
          <w:szCs w:val="32"/>
          <w:lang w:val="en-US" w:eastAsia="zh-CN"/>
        </w:rPr>
      </w:pPr>
      <w:r>
        <w:rPr>
          <w:rFonts w:hint="default" w:ascii="Times New Roman" w:hAnsi="Times New Roman" w:eastAsia="仿宋" w:cs="Times New Roman"/>
          <w:b/>
          <w:bCs/>
          <w:sz w:val="32"/>
          <w:szCs w:val="32"/>
          <w:lang w:val="en-US" w:eastAsia="zh-CN"/>
        </w:rPr>
        <w:t>7.积极做好精品项目申报和体育彩票工作。</w:t>
      </w:r>
      <w:r>
        <w:rPr>
          <w:rFonts w:hint="default" w:ascii="Times New Roman" w:hAnsi="Times New Roman" w:eastAsia="仿宋" w:cs="Times New Roman"/>
          <w:b w:val="0"/>
          <w:bCs w:val="0"/>
          <w:sz w:val="32"/>
          <w:szCs w:val="32"/>
          <w:lang w:val="en-US" w:eastAsia="zh-CN"/>
        </w:rPr>
        <w:t>组织开展2025中国体育旅游精品项目和中华体育文化优秀项目推介工作，确定申报体育旅游精品项目15项、中华体育文化优秀项目17项，其中乌苏市生态画廊体育旅游线路、博湖县沙漠文化旅游节暨环博斯腾湖沙漠越野争霸赛获评国家体育总局中国体育旅游精品项目，“阿勒泰姑娘追”获评中华体育文化优秀项目。推动全区体育彩票销售工作，2025年新疆体育彩票销售80.04亿元，比去年同期增长8.51亿元，同比增幅11.90%，完成年度任务指标进度，为国家和自治区筹集体彩公益金19.17亿元。</w:t>
      </w:r>
    </w:p>
    <w:p w14:paraId="024E508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 w:cs="Times New Roman"/>
          <w:b w:val="0"/>
          <w:bCs w:val="0"/>
          <w:sz w:val="32"/>
          <w:szCs w:val="32"/>
          <w:lang w:val="en-US" w:eastAsia="zh-CN"/>
        </w:rPr>
      </w:pPr>
      <w:r>
        <w:rPr>
          <w:rFonts w:hint="default" w:ascii="Times New Roman" w:hAnsi="Times New Roman" w:eastAsia="仿宋" w:cs="Times New Roman"/>
          <w:b/>
          <w:bCs/>
          <w:sz w:val="32"/>
          <w:szCs w:val="32"/>
          <w:lang w:val="en-US" w:eastAsia="zh-CN"/>
        </w:rPr>
        <w:t>8.体育宣传文化工作不断展现新作为。</w:t>
      </w:r>
      <w:r>
        <w:rPr>
          <w:rFonts w:hint="default" w:ascii="Times New Roman" w:hAnsi="Times New Roman" w:eastAsia="仿宋" w:cs="Times New Roman"/>
          <w:b w:val="0"/>
          <w:bCs w:val="0"/>
          <w:sz w:val="32"/>
          <w:szCs w:val="32"/>
          <w:lang w:val="en-US" w:eastAsia="zh-CN"/>
        </w:rPr>
        <w:t>定期对官微、官网发布信息进行全面排查，持续开展网络安全保障和软件正版化工作。局微信公众号“体育健身365”发稿1617篇，阅读量超26.9万次。围绕重大体育赛事活动，积极向国家体育总局和自治区党委宣传部报送新闻选题。与新华社联合推出的“文化润疆的体育实践”稿件链接阅读量超过500万次，引起社会各界广泛关注和肯定。2025年“喀什杯”国际青少年足球邀请赛期间，央媒和国际媒体专题报道4200余条，网络话题阅读量超11.5亿次，受到国内外高度关注、一致好评。在中国环塔国际拉力赛期间，全网累计发布报道超11.18万条，国内参与媒体突破500家，21051个媒体账号深度参与内容创作。组织开展了“中央媒体小分队走新疆”等活动，深入挖掘、讲好新时代中国新疆体育故事，持续铸牢中华民族共同体意识。</w:t>
      </w:r>
    </w:p>
    <w:p w14:paraId="0479BCE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9.党纪学习教育扎实开展。</w:t>
      </w:r>
      <w:r>
        <w:rPr>
          <w:rFonts w:hint="default" w:ascii="Times New Roman" w:hAnsi="Times New Roman" w:eastAsia="仿宋" w:cs="Times New Roman"/>
          <w:sz w:val="32"/>
          <w:szCs w:val="32"/>
          <w:lang w:val="en-US" w:eastAsia="zh-CN"/>
        </w:rPr>
        <w:t>深入学习贯彻落实习近平总书记重要指示批示精神，认真履行管党治党主体责任，签订《2025年全面从严治党目标责任书》，党组（党委）班子成员参加双重组织生活170余次。党组、党委班子成员讲党课22次、党委书记讲党课13次、党支部书记讲党课27次，培养预备党员10名。结合直属单位机构改革实际，更名基层党组织5个、新成立基层党组织3个、撤销基层党组织4个，进一步规范基层党组织建设。落实选人用人主体责任，上半年提拔干部6名（2名副厅、4名正处），交流轮岗2名。持续开展“民族团结一家亲”活动，与驻村点群众结对干部职工212人，结对认亲212户，为群众办实事好事180余件，捐款捐物和发放慰问品折合人民币14万余元，“走下去”干部职工197人，开展融情联谊活动21次，全面助力乡村振兴。</w:t>
      </w:r>
    </w:p>
    <w:p w14:paraId="1D789C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三、部门单</w:t>
      </w:r>
      <w:r>
        <w:rPr>
          <w:rFonts w:hint="default" w:ascii="Times New Roman" w:hAnsi="Times New Roman" w:eastAsia="黑体" w:cs="Times New Roman"/>
          <w:b w:val="0"/>
          <w:bCs w:val="0"/>
          <w:sz w:val="32"/>
          <w:szCs w:val="32"/>
          <w:highlight w:val="none"/>
          <w:lang w:val="en-US" w:eastAsia="zh-CN"/>
        </w:rPr>
        <w:t>位整体支出绩效分析</w:t>
      </w:r>
    </w:p>
    <w:p w14:paraId="45DC5AA4">
      <w:pPr>
        <w:spacing w:line="540" w:lineRule="exact"/>
        <w:ind w:firstLine="579" w:firstLineChars="181"/>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lang w:val="en-US" w:eastAsia="zh-CN"/>
        </w:rPr>
        <w:t>(一）数量指标1：每千人拥有社会体育指导员数量</w:t>
      </w:r>
      <w:r>
        <w:rPr>
          <w:rFonts w:hint="default" w:ascii="Times New Roman" w:hAnsi="Times New Roman" w:eastAsia="仿宋" w:cs="Times New Roman"/>
          <w:sz w:val="32"/>
          <w:szCs w:val="32"/>
          <w:highlight w:val="none"/>
          <w:lang w:val="en-US" w:eastAsia="zh-CN"/>
        </w:rPr>
        <w:t>,预期指标值&gt;=2.16人，年中绩效运行监控节点完成值&gt;=2.49人，本次实际完成值2.41人,完成率111.58%,偏差率11.58%。偏差原因：监控节点时使用2024年常住人口数，自评时使用2025年常住人口数，人口数量较上一年有所增加，因此完成值比监控节点低。改进措施：下一年度精准预算。指标成效分析：通过培训社会体育指导员，开展全民健身志愿服务活动，将科学健身知识带到群众身边，营造“全民健身，你我同行”的良好氛围。</w:t>
      </w:r>
    </w:p>
    <w:p w14:paraId="0213464F">
      <w:pPr>
        <w:spacing w:line="540" w:lineRule="exact"/>
        <w:ind w:firstLine="579" w:firstLineChars="181"/>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二）数量指标2：举办自治区级全民健身品牌赛事活动及“大众冰雪季”系列活动次数,预期指标值&gt;=12场次，年中绩效运行监控节点完成值7场次，本次实际完成值13场次，完成率108.33%,偏差率8.33%，偏差原因：年初绩效目标精准度不足。改进措施：在今后设置指标时参考上一年度完成情况设定，降低指标完成值的偏差率。指标成效分析：通过举办赛事活动以品牌赛事为抓手，形成政府引导、社会参与、市场运作的长效办赛机制，还有效普及冰雪知识与安全技能，培养群众冰雪运动习惯，丰富冬季健身方式。</w:t>
      </w:r>
    </w:p>
    <w:p w14:paraId="38F1F2CE">
      <w:pPr>
        <w:spacing w:line="540" w:lineRule="exact"/>
        <w:ind w:firstLine="579" w:firstLineChars="181"/>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三）数量指标3：开展第六次国民体质监测样本数量,预期指标值&gt;=2000样本，年中绩效运行监控节点完成值10249样本，本次实际完成值10256样本,完成率513%,偏差率413%。偏差原因：年初绩效目标精准度不足。改进措施：在今后设置指标时参考上一年度完成情况设定，降低指标完成值的偏差率。指标成效分析：通过开展第六次国民体质监测，为全民健身、健康中国、体卫融合等国家战略实施提供精准数据支撑。</w:t>
      </w:r>
    </w:p>
    <w:p w14:paraId="04DF9023">
      <w:pPr>
        <w:spacing w:line="540" w:lineRule="exact"/>
        <w:ind w:firstLine="579" w:firstLineChars="181"/>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lang w:val="en-US" w:eastAsia="zh-CN"/>
        </w:rPr>
        <w:t>（四）数量指标4：到2025年累计评定自治区级体育传统特色学校数量,预期指标值&gt;=1000所，</w:t>
      </w:r>
      <w:r>
        <w:rPr>
          <w:rFonts w:hint="default" w:ascii="Times New Roman" w:hAnsi="Times New Roman" w:eastAsia="仿宋" w:cs="Times New Roman"/>
          <w:sz w:val="32"/>
          <w:szCs w:val="32"/>
          <w:highlight w:val="none"/>
          <w:lang w:val="en-US" w:eastAsia="zh-CN"/>
        </w:rPr>
        <w:t>年中绩效运行</w:t>
      </w:r>
      <w:r>
        <w:rPr>
          <w:rFonts w:hint="default" w:ascii="Times New Roman" w:hAnsi="Times New Roman" w:eastAsia="仿宋" w:cs="Times New Roman"/>
          <w:sz w:val="32"/>
          <w:szCs w:val="32"/>
          <w:lang w:val="en-US" w:eastAsia="zh-CN"/>
        </w:rPr>
        <w:t>监控节点完成</w:t>
      </w:r>
      <w:r>
        <w:rPr>
          <w:rFonts w:hint="default" w:ascii="Times New Roman" w:hAnsi="Times New Roman" w:eastAsia="仿宋" w:cs="Times New Roman"/>
          <w:sz w:val="32"/>
          <w:szCs w:val="32"/>
          <w:highlight w:val="none"/>
          <w:lang w:val="en-US" w:eastAsia="zh-CN"/>
        </w:rPr>
        <w:t>811所</w:t>
      </w:r>
      <w:r>
        <w:rPr>
          <w:rFonts w:hint="default" w:ascii="Times New Roman" w:hAnsi="Times New Roman" w:eastAsia="仿宋" w:cs="Times New Roman"/>
          <w:sz w:val="32"/>
          <w:szCs w:val="32"/>
          <w:lang w:val="en-US" w:eastAsia="zh-CN"/>
        </w:rPr>
        <w:t>，本次实际完成值</w:t>
      </w:r>
      <w:r>
        <w:rPr>
          <w:rFonts w:hint="default" w:ascii="Times New Roman" w:hAnsi="Times New Roman" w:eastAsia="仿宋" w:cs="Times New Roman"/>
          <w:sz w:val="32"/>
          <w:szCs w:val="32"/>
          <w:highlight w:val="none"/>
          <w:lang w:val="en-US" w:eastAsia="zh-CN"/>
        </w:rPr>
        <w:t>1024所,完成率102.4%,偏差率2.4%。偏差原因：</w:t>
      </w:r>
      <w:r>
        <w:rPr>
          <w:rFonts w:hint="default" w:ascii="Times New Roman" w:hAnsi="Times New Roman" w:eastAsia="仿宋" w:cs="Times New Roman"/>
          <w:sz w:val="32"/>
          <w:szCs w:val="32"/>
          <w:lang w:val="en-US" w:eastAsia="zh-CN"/>
        </w:rPr>
        <w:t>学校申报意愿强烈，符合标准学校较多。下一步措施：继续做好此项工作。</w:t>
      </w:r>
      <w:r>
        <w:rPr>
          <w:rFonts w:hint="default" w:ascii="Times New Roman" w:hAnsi="Times New Roman" w:eastAsia="仿宋" w:cs="Times New Roman"/>
          <w:sz w:val="32"/>
          <w:szCs w:val="32"/>
          <w:highlight w:val="none"/>
          <w:lang w:val="en-US" w:eastAsia="zh-CN"/>
        </w:rPr>
        <w:t>指标成效分析：通过评定体育传统特色学校，促进体育与教育深度融合，实现文化学习与体育锻炼协调发展。</w:t>
      </w:r>
    </w:p>
    <w:p w14:paraId="1ECB8634">
      <w:pPr>
        <w:spacing w:line="540" w:lineRule="exact"/>
        <w:ind w:firstLine="579" w:firstLineChars="181"/>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（五）数量指标5：打造国家</w:t>
      </w:r>
      <w:bookmarkStart w:id="0" w:name="_GoBack"/>
      <w:bookmarkEnd w:id="0"/>
      <w:r>
        <w:rPr>
          <w:rFonts w:hint="default" w:ascii="Times New Roman" w:hAnsi="Times New Roman" w:eastAsia="仿宋" w:cs="Times New Roman"/>
          <w:sz w:val="32"/>
          <w:szCs w:val="32"/>
          <w:highlight w:val="none"/>
          <w:lang w:val="en-US" w:eastAsia="zh-CN"/>
        </w:rPr>
        <w:t>体育产业基地数量</w:t>
      </w:r>
      <w:r>
        <w:rPr>
          <w:rFonts w:hint="default" w:ascii="Times New Roman" w:hAnsi="Times New Roman" w:eastAsia="仿宋" w:cs="Times New Roman"/>
          <w:sz w:val="32"/>
          <w:szCs w:val="32"/>
          <w:lang w:val="en-US" w:eastAsia="zh-CN"/>
        </w:rPr>
        <w:t>,预期指标值≥2人，</w:t>
      </w:r>
      <w:r>
        <w:rPr>
          <w:rFonts w:hint="default" w:ascii="Times New Roman" w:hAnsi="Times New Roman" w:eastAsia="仿宋" w:cs="Times New Roman"/>
          <w:sz w:val="32"/>
          <w:szCs w:val="32"/>
          <w:highlight w:val="none"/>
          <w:lang w:val="en-US" w:eastAsia="zh-CN"/>
        </w:rPr>
        <w:t>年中绩效运行监控节点完成值0所，本次实际完成值0所,完成率0%,偏差率100%。偏差原因：按照国家体育总局要求，暂停开展此项工作。下一步措施：</w:t>
      </w:r>
      <w:r>
        <w:rPr>
          <w:rFonts w:hint="eastAsia" w:ascii="Times New Roman" w:hAnsi="Times New Roman" w:eastAsia="仿宋" w:cs="Times New Roman"/>
          <w:sz w:val="32"/>
          <w:szCs w:val="32"/>
          <w:highlight w:val="none"/>
          <w:lang w:val="en-US" w:eastAsia="zh-CN"/>
        </w:rPr>
        <w:t>精准合理设置下一年度绩效目标</w:t>
      </w:r>
      <w:r>
        <w:rPr>
          <w:rFonts w:hint="default" w:ascii="Times New Roman" w:hAnsi="Times New Roman" w:eastAsia="仿宋" w:cs="Times New Roman"/>
          <w:sz w:val="32"/>
          <w:szCs w:val="32"/>
          <w:highlight w:val="none"/>
          <w:lang w:val="en-US" w:eastAsia="zh-CN"/>
        </w:rPr>
        <w:t>。</w:t>
      </w:r>
      <w:r>
        <w:rPr>
          <w:rFonts w:hint="default" w:ascii="Times New Roman" w:hAnsi="Times New Roman" w:eastAsia="仿宋" w:cs="Times New Roman"/>
          <w:sz w:val="32"/>
          <w:szCs w:val="32"/>
          <w:highlight w:val="none"/>
          <w:lang w:val="en-US" w:eastAsia="zh-CN"/>
        </w:rPr>
        <w:t xml:space="preserve">         </w:t>
      </w:r>
    </w:p>
    <w:p w14:paraId="66A111B4">
      <w:pPr>
        <w:spacing w:line="540" w:lineRule="exact"/>
        <w:ind w:firstLine="579" w:firstLineChars="181"/>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lang w:val="en-US" w:eastAsia="zh-CN"/>
        </w:rPr>
        <w:t>(六)数量指标6：</w:t>
      </w:r>
      <w:r>
        <w:rPr>
          <w:rFonts w:hint="default" w:ascii="Times New Roman" w:hAnsi="Times New Roman" w:eastAsia="仿宋" w:cs="Times New Roman"/>
          <w:kern w:val="2"/>
          <w:sz w:val="32"/>
          <w:szCs w:val="32"/>
          <w:lang w:val="en-US" w:eastAsia="zh-CN" w:bidi="ar-SA"/>
        </w:rPr>
        <w:t>获评国家级体育旅游精品项目、体育文化项目数量</w:t>
      </w:r>
      <w:r>
        <w:rPr>
          <w:rFonts w:hint="default" w:ascii="Times New Roman" w:hAnsi="Times New Roman" w:eastAsia="仿宋" w:cs="Times New Roman"/>
          <w:sz w:val="32"/>
          <w:szCs w:val="32"/>
          <w:lang w:val="en-US" w:eastAsia="zh-CN"/>
        </w:rPr>
        <w:t>,预期指标值&gt;=1项，</w:t>
      </w:r>
      <w:r>
        <w:rPr>
          <w:rFonts w:hint="default" w:ascii="Times New Roman" w:hAnsi="Times New Roman" w:eastAsia="仿宋" w:cs="Times New Roman"/>
          <w:sz w:val="32"/>
          <w:szCs w:val="32"/>
          <w:highlight w:val="none"/>
          <w:lang w:val="en-US" w:eastAsia="zh-CN"/>
        </w:rPr>
        <w:t>年中绩效运行</w:t>
      </w:r>
      <w:r>
        <w:rPr>
          <w:rFonts w:hint="default" w:ascii="Times New Roman" w:hAnsi="Times New Roman" w:eastAsia="仿宋" w:cs="Times New Roman"/>
          <w:sz w:val="32"/>
          <w:szCs w:val="32"/>
          <w:lang w:val="en-US" w:eastAsia="zh-CN"/>
        </w:rPr>
        <w:t>监控节点完成值0项，本次实际完成值3项,</w:t>
      </w:r>
      <w:r>
        <w:rPr>
          <w:rFonts w:hint="default" w:ascii="Times New Roman" w:hAnsi="Times New Roman" w:eastAsia="仿宋" w:cs="Times New Roman"/>
          <w:sz w:val="32"/>
          <w:szCs w:val="32"/>
          <w:highlight w:val="none"/>
          <w:lang w:val="en-US" w:eastAsia="zh-CN"/>
        </w:rPr>
        <w:t>完成率300%,偏差率200%。偏差原因：</w:t>
      </w:r>
      <w:r>
        <w:rPr>
          <w:rFonts w:hint="default" w:ascii="Times New Roman" w:hAnsi="Times New Roman" w:eastAsia="仿宋" w:cs="Times New Roman"/>
          <w:sz w:val="32"/>
          <w:szCs w:val="32"/>
          <w:lang w:val="en-US" w:eastAsia="zh-CN"/>
        </w:rPr>
        <w:t>按照国家体育总局有关工作要求，推选新疆体育旅游精品项目，经过总局评审，实际获评项目3项。下一步措施：继续按照上级要求做好此项工作。指标成效分析：通过推荐精品项目，进一步激发公众对体育旅游的热情，不仅丰富了游客体验，也推动了地方经济发展。</w:t>
      </w:r>
    </w:p>
    <w:p w14:paraId="1335BB16">
      <w:pPr>
        <w:spacing w:line="540" w:lineRule="exact"/>
        <w:ind w:firstLine="579" w:firstLineChars="181"/>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 w:cs="Times New Roman"/>
          <w:sz w:val="32"/>
          <w:szCs w:val="32"/>
          <w:lang w:val="en-US" w:eastAsia="zh-CN"/>
        </w:rPr>
        <w:t>（七）社会效益指标：参加第十五届全国运动会获得奖牌数量，预期指标值≥15枚，</w:t>
      </w:r>
      <w:r>
        <w:rPr>
          <w:rFonts w:hint="default" w:ascii="Times New Roman" w:hAnsi="Times New Roman" w:eastAsia="仿宋" w:cs="Times New Roman"/>
          <w:sz w:val="32"/>
          <w:szCs w:val="32"/>
          <w:highlight w:val="none"/>
          <w:lang w:val="en-US" w:eastAsia="zh-CN"/>
        </w:rPr>
        <w:t>年中绩效运行</w:t>
      </w:r>
      <w:r>
        <w:rPr>
          <w:rFonts w:hint="default" w:ascii="Times New Roman" w:hAnsi="Times New Roman" w:eastAsia="仿宋" w:cs="Times New Roman"/>
          <w:sz w:val="32"/>
          <w:szCs w:val="32"/>
          <w:lang w:val="en-US" w:eastAsia="zh-CN"/>
        </w:rPr>
        <w:t>监控节点完成值0枚，本次实际完成值45枚，</w:t>
      </w:r>
      <w:r>
        <w:rPr>
          <w:rFonts w:hint="default" w:ascii="Times New Roman" w:hAnsi="Times New Roman" w:eastAsia="仿宋" w:cs="Times New Roman"/>
          <w:sz w:val="32"/>
          <w:szCs w:val="32"/>
          <w:highlight w:val="none"/>
          <w:lang w:val="en-US" w:eastAsia="zh-CN"/>
        </w:rPr>
        <w:t>完成率300%,偏差率200%。</w:t>
      </w:r>
      <w:r>
        <w:rPr>
          <w:rFonts w:hint="default" w:ascii="Times New Roman" w:hAnsi="Times New Roman" w:eastAsia="仿宋" w:cs="Times New Roman"/>
          <w:sz w:val="32"/>
          <w:szCs w:val="32"/>
          <w:lang w:val="en-US" w:eastAsia="zh-CN"/>
        </w:rPr>
        <w:t>偏差原因：运动员充分发挥，表现突出，荣获奖牌45枚。下一步措施：继续加强我区运动员训练水平，争取下一届运动会有更好的表现。</w:t>
      </w:r>
      <w:r>
        <w:rPr>
          <w:rFonts w:hint="default" w:ascii="Times New Roman" w:hAnsi="Times New Roman" w:eastAsia="仿宋" w:cs="Times New Roman"/>
          <w:sz w:val="32"/>
          <w:szCs w:val="32"/>
          <w:highlight w:val="none"/>
          <w:lang w:val="en-US" w:eastAsia="zh-CN"/>
        </w:rPr>
        <w:t>指标成效分析：新疆体育健儿表现优异，共收获11枚金牌、16枚银牌、18枚铜牌的好成绩，展现新疆健儿顽强拼搏、团结奋进的精神风貌，凝聚各族群众向心力，为新疆高质量发展注入体育力量。</w:t>
      </w:r>
    </w:p>
    <w:p w14:paraId="221894FB">
      <w:pPr>
        <w:pStyle w:val="10"/>
        <w:numPr>
          <w:ilvl w:val="0"/>
          <w:numId w:val="1"/>
        </w:numPr>
        <w:snapToGrid w:val="0"/>
        <w:spacing w:line="540" w:lineRule="exact"/>
        <w:ind w:firstLineChars="0"/>
        <w:rPr>
          <w:rStyle w:val="7"/>
          <w:rFonts w:hint="default" w:ascii="Times New Roman" w:hAnsi="Times New Roman" w:eastAsia="黑体" w:cs="Times New Roman"/>
          <w:b w:val="0"/>
          <w:bCs w:val="0"/>
          <w:spacing w:val="-4"/>
          <w:sz w:val="32"/>
          <w:szCs w:val="32"/>
          <w:highlight w:val="none"/>
        </w:rPr>
      </w:pPr>
      <w:r>
        <w:rPr>
          <w:rStyle w:val="7"/>
          <w:rFonts w:hint="default" w:ascii="Times New Roman" w:hAnsi="Times New Roman" w:eastAsia="黑体" w:cs="Times New Roman"/>
          <w:b w:val="0"/>
          <w:bCs w:val="0"/>
          <w:spacing w:val="-4"/>
          <w:sz w:val="32"/>
          <w:szCs w:val="32"/>
          <w:lang w:eastAsia="zh-CN"/>
        </w:rPr>
        <w:t>评价结论</w:t>
      </w:r>
    </w:p>
    <w:p w14:paraId="0722376B">
      <w:pPr>
        <w:spacing w:line="540" w:lineRule="exact"/>
        <w:ind w:firstLine="579" w:firstLineChars="181"/>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2025年度部门整体支出绩效自评综合得分86.15分，评价结果为“良好”。</w:t>
      </w:r>
    </w:p>
    <w:p w14:paraId="0BE46560">
      <w:pPr>
        <w:pStyle w:val="10"/>
        <w:numPr>
          <w:ilvl w:val="0"/>
          <w:numId w:val="1"/>
        </w:numPr>
        <w:snapToGrid w:val="0"/>
        <w:spacing w:line="540" w:lineRule="exact"/>
        <w:ind w:firstLineChars="0"/>
        <w:rPr>
          <w:rStyle w:val="7"/>
          <w:rFonts w:hint="default" w:ascii="Times New Roman" w:hAnsi="Times New Roman" w:eastAsia="黑体" w:cs="Times New Roman"/>
          <w:b w:val="0"/>
          <w:bCs w:val="0"/>
          <w:spacing w:val="-4"/>
          <w:sz w:val="32"/>
          <w:szCs w:val="32"/>
        </w:rPr>
      </w:pPr>
      <w:r>
        <w:rPr>
          <w:rStyle w:val="7"/>
          <w:rFonts w:hint="default" w:ascii="Times New Roman" w:hAnsi="Times New Roman" w:eastAsia="黑体" w:cs="Times New Roman"/>
          <w:b w:val="0"/>
          <w:bCs w:val="0"/>
          <w:spacing w:val="-4"/>
          <w:sz w:val="32"/>
          <w:szCs w:val="32"/>
        </w:rPr>
        <w:t>存在的主要问题</w:t>
      </w:r>
      <w:r>
        <w:rPr>
          <w:rStyle w:val="7"/>
          <w:rFonts w:hint="default" w:ascii="Times New Roman" w:hAnsi="Times New Roman" w:eastAsia="黑体" w:cs="Times New Roman"/>
          <w:b w:val="0"/>
          <w:bCs w:val="0"/>
          <w:spacing w:val="-4"/>
          <w:sz w:val="32"/>
          <w:szCs w:val="32"/>
          <w:lang w:eastAsia="zh-CN"/>
        </w:rPr>
        <w:t>及原因分析</w:t>
      </w:r>
    </w:p>
    <w:p w14:paraId="683F967C">
      <w:pPr>
        <w:pStyle w:val="10"/>
        <w:numPr>
          <w:ilvl w:val="0"/>
          <w:numId w:val="0"/>
        </w:numPr>
        <w:snapToGrid w:val="0"/>
        <w:spacing w:line="540" w:lineRule="exact"/>
        <w:ind w:firstLine="640" w:firstLineChars="20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设置部门整体支出绩效目标表时，个别指标未能准确体现部门年度履职核心工作。主要原因是业务部门绩效管理意识不强，缺乏对岗位工作的深入了解，没有准确提炼出关键环节和核心成果，过于关注短期易量化和易达成的指标，忽视长期战略。</w:t>
      </w:r>
    </w:p>
    <w:p w14:paraId="349BD80D">
      <w:pPr>
        <w:pStyle w:val="10"/>
        <w:numPr>
          <w:ilvl w:val="0"/>
          <w:numId w:val="1"/>
        </w:numPr>
        <w:snapToGrid w:val="0"/>
        <w:spacing w:line="540" w:lineRule="exact"/>
        <w:ind w:firstLineChars="0"/>
        <w:rPr>
          <w:rStyle w:val="7"/>
          <w:rFonts w:hint="default" w:ascii="Times New Roman" w:hAnsi="Times New Roman" w:eastAsia="黑体" w:cs="Times New Roman"/>
          <w:b w:val="0"/>
          <w:bCs w:val="0"/>
          <w:spacing w:val="-4"/>
          <w:sz w:val="32"/>
          <w:szCs w:val="32"/>
        </w:rPr>
      </w:pPr>
      <w:r>
        <w:rPr>
          <w:rStyle w:val="7"/>
          <w:rFonts w:hint="default" w:ascii="Times New Roman" w:hAnsi="Times New Roman" w:eastAsia="黑体" w:cs="Times New Roman"/>
          <w:b w:val="0"/>
          <w:bCs w:val="0"/>
          <w:spacing w:val="-4"/>
          <w:sz w:val="32"/>
          <w:szCs w:val="32"/>
        </w:rPr>
        <w:t>改进措施和建议</w:t>
      </w:r>
    </w:p>
    <w:p w14:paraId="3AFE76B7">
      <w:pPr>
        <w:pStyle w:val="10"/>
        <w:numPr>
          <w:ilvl w:val="0"/>
          <w:numId w:val="0"/>
        </w:numPr>
        <w:snapToGrid w:val="0"/>
        <w:spacing w:line="540" w:lineRule="exact"/>
        <w:ind w:firstLine="643" w:firstLineChars="20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b/>
          <w:bCs/>
          <w:kern w:val="2"/>
          <w:sz w:val="32"/>
          <w:szCs w:val="32"/>
          <w:lang w:val="en-US" w:eastAsia="zh-CN" w:bidi="ar-SA"/>
        </w:rPr>
        <w:t>一是</w:t>
      </w:r>
      <w:r>
        <w:rPr>
          <w:rFonts w:hint="default" w:ascii="Times New Roman" w:hAnsi="Times New Roman" w:eastAsia="仿宋" w:cs="Times New Roman"/>
          <w:kern w:val="2"/>
          <w:sz w:val="32"/>
          <w:szCs w:val="32"/>
          <w:lang w:val="en-US" w:eastAsia="zh-CN" w:bidi="ar-SA"/>
        </w:rPr>
        <w:t>加强预算绩效目标管理工作，增强绩效管理意识，指导各部门单位科学合理编制预算，细化量化、可比可测的制定整体支出绩效目标，突出结果导向，重点考核实绩。</w:t>
      </w:r>
    </w:p>
    <w:p w14:paraId="6984BDE1">
      <w:pPr>
        <w:pStyle w:val="10"/>
        <w:numPr>
          <w:ilvl w:val="0"/>
          <w:numId w:val="0"/>
        </w:numPr>
        <w:snapToGrid w:val="0"/>
        <w:spacing w:line="540" w:lineRule="exact"/>
        <w:ind w:firstLine="643" w:firstLineChars="200"/>
        <w:rPr>
          <w:rStyle w:val="7"/>
          <w:rFonts w:hint="default" w:ascii="Times New Roman" w:hAnsi="Times New Roman" w:eastAsia="仿宋" w:cs="Times New Roman"/>
          <w:b w:val="0"/>
          <w:bCs w:val="0"/>
          <w:spacing w:val="-4"/>
          <w:sz w:val="32"/>
          <w:szCs w:val="32"/>
        </w:rPr>
      </w:pPr>
      <w:r>
        <w:rPr>
          <w:rFonts w:hint="default" w:ascii="Times New Roman" w:hAnsi="Times New Roman" w:eastAsia="仿宋" w:cs="Times New Roman"/>
          <w:b/>
          <w:bCs/>
          <w:kern w:val="2"/>
          <w:sz w:val="32"/>
          <w:szCs w:val="32"/>
          <w:lang w:val="en-US" w:eastAsia="zh-CN" w:bidi="ar-SA"/>
        </w:rPr>
        <w:t>二是</w:t>
      </w:r>
      <w:r>
        <w:rPr>
          <w:rFonts w:hint="default" w:ascii="Times New Roman" w:hAnsi="Times New Roman" w:eastAsia="仿宋" w:cs="Times New Roman"/>
          <w:kern w:val="2"/>
          <w:sz w:val="32"/>
          <w:szCs w:val="32"/>
          <w:lang w:val="en-US" w:eastAsia="zh-CN" w:bidi="ar-SA"/>
        </w:rPr>
        <w:t>加强相关人员绩效业务学习及培训，提高绩效管理意识，进一步加强预算绩效管理，有效推动我局下年度预算绩效管理取得新进展。</w:t>
      </w:r>
    </w:p>
    <w:p w14:paraId="19165F67">
      <w:pPr>
        <w:pStyle w:val="10"/>
        <w:numPr>
          <w:ilvl w:val="0"/>
          <w:numId w:val="1"/>
        </w:numPr>
        <w:snapToGrid w:val="0"/>
        <w:spacing w:line="540" w:lineRule="exact"/>
        <w:ind w:firstLineChars="0"/>
        <w:rPr>
          <w:rStyle w:val="7"/>
          <w:rFonts w:hint="default" w:ascii="Times New Roman" w:hAnsi="Times New Roman" w:eastAsia="仿宋" w:cs="Times New Roman"/>
          <w:b w:val="0"/>
          <w:spacing w:val="-4"/>
          <w:sz w:val="32"/>
          <w:szCs w:val="32"/>
        </w:rPr>
      </w:pPr>
      <w:r>
        <w:rPr>
          <w:rStyle w:val="7"/>
          <w:rFonts w:hint="default" w:ascii="Times New Roman" w:hAnsi="Times New Roman" w:eastAsia="黑体" w:cs="Times New Roman"/>
          <w:b w:val="0"/>
          <w:bCs w:val="0"/>
          <w:spacing w:val="-4"/>
          <w:sz w:val="32"/>
          <w:szCs w:val="32"/>
        </w:rPr>
        <w:t>附表：</w:t>
      </w:r>
      <w:r>
        <w:rPr>
          <w:rFonts w:hint="default" w:ascii="Times New Roman" w:hAnsi="Times New Roman" w:eastAsia="仿宋" w:cs="Times New Roman"/>
          <w:kern w:val="2"/>
          <w:sz w:val="32"/>
          <w:szCs w:val="32"/>
          <w:lang w:val="en-US" w:eastAsia="zh-CN" w:bidi="ar-SA"/>
        </w:rPr>
        <w:t>《部门整体支出绩效自评表》</w:t>
      </w:r>
    </w:p>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7549D7-1159-46B9-B7BD-6B22A943CC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2" w:fontKey="{E3F2304B-FC14-4046-A331-4798E1A6044E}"/>
  </w:font>
  <w:font w:name="方正小标宋_GBK">
    <w:panose1 w:val="03000509000000000000"/>
    <w:charset w:val="86"/>
    <w:family w:val="script"/>
    <w:pitch w:val="default"/>
    <w:sig w:usb0="00000001" w:usb1="080E0000" w:usb2="00000000" w:usb3="00000000" w:csb0="00040000" w:csb1="00000000"/>
    <w:embedRegular r:id="rId3" w:fontKey="{25E87B2B-91FF-417E-AD5B-D51C40D33510}"/>
  </w:font>
  <w:font w:name="仿宋_GB2312">
    <w:panose1 w:val="02010609030101010101"/>
    <w:charset w:val="86"/>
    <w:family w:val="modern"/>
    <w:pitch w:val="default"/>
    <w:sig w:usb0="00000001" w:usb1="080E0000" w:usb2="00000000" w:usb3="00000000" w:csb0="00040000" w:csb1="00000000"/>
    <w:embedRegular r:id="rId4" w:fontKey="{35932A9B-5453-489C-88EC-778CF86E4492}"/>
  </w:font>
  <w:font w:name="楷体">
    <w:panose1 w:val="02010609060101010101"/>
    <w:charset w:val="86"/>
    <w:family w:val="modern"/>
    <w:pitch w:val="default"/>
    <w:sig w:usb0="800002BF" w:usb1="38CF7CFA" w:usb2="00000016" w:usb3="00000000" w:csb0="00040001" w:csb1="00000000"/>
    <w:embedRegular r:id="rId5" w:fontKey="{59A3E2DA-99BF-47AE-8585-DBA3D19673D3}"/>
  </w:font>
  <w:font w:name="仿宋">
    <w:panose1 w:val="02010609060101010101"/>
    <w:charset w:val="86"/>
    <w:family w:val="modern"/>
    <w:pitch w:val="default"/>
    <w:sig w:usb0="800002BF" w:usb1="38CF7CFA" w:usb2="00000016" w:usb3="00000000" w:csb0="00040001" w:csb1="00000000"/>
    <w:embedRegular r:id="rId6" w:fontKey="{47FFFE57-E8F7-4D70-BC92-3237DD92E9AE}"/>
  </w:font>
  <w:font w:name="方正仿宋_GBK">
    <w:panose1 w:val="03000509000000000000"/>
    <w:charset w:val="86"/>
    <w:family w:val="auto"/>
    <w:pitch w:val="default"/>
    <w:sig w:usb0="00000001" w:usb1="080E0000" w:usb2="00000000" w:usb3="00000000" w:csb0="00040000" w:csb1="00000000"/>
    <w:embedRegular r:id="rId7" w:fontKey="{DFE382AE-81FF-40A0-B2C3-0A6BE1D7804E}"/>
  </w:font>
  <w:font w:name="WPSEMBED7">
    <w:panose1 w:val="03000509000000000000"/>
    <w:charset w:val="86"/>
    <w:family w:val="auto"/>
    <w:pitch w:val="default"/>
    <w:sig w:usb0="00000001" w:usb1="080E0000" w:usb2="00000000" w:usb3="00000000" w:csb0="00040000" w:csb1="00000000"/>
  </w:font>
  <w:font w:name="WPSEMBED8">
    <w:panose1 w:val="02010609030101010101"/>
    <w:charset w:val="86"/>
    <w:family w:val="auto"/>
    <w:pitch w:val="default"/>
    <w:sig w:usb0="00000001" w:usb1="080E0000" w:usb2="00000000" w:usb3="00000000" w:csb0="00040000" w:csb1="00000000"/>
  </w:font>
  <w:font w:name="WPSEMBED9">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C404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DD698">
                          <w:pPr>
                            <w:pStyle w:val="3"/>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ADD698">
                    <w:pPr>
                      <w:pStyle w:val="3"/>
                    </w:pPr>
                    <w:r>
                      <w:fldChar w:fldCharType="begin"/>
                    </w:r>
                    <w:r>
                      <w:instrText xml:space="preserve"> PAGE  \* MERGEFORMAT </w:instrText>
                    </w:r>
                    <w:r>
                      <w:fldChar w:fldCharType="separate"/>
                    </w:r>
                    <w:r>
                      <w:t>- 25 -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D6623">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67CE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46F3D">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3D4E4">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WJjYzE4ODNiNThkZWIwZDQzYTExYzlhYzg5MTQ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764AF"/>
    <w:rsid w:val="00EA14FA"/>
    <w:rsid w:val="00F84215"/>
    <w:rsid w:val="010E0C0C"/>
    <w:rsid w:val="016D0077"/>
    <w:rsid w:val="018A4696"/>
    <w:rsid w:val="02355837"/>
    <w:rsid w:val="02610413"/>
    <w:rsid w:val="02F163A2"/>
    <w:rsid w:val="02F520D1"/>
    <w:rsid w:val="02FE786C"/>
    <w:rsid w:val="03341650"/>
    <w:rsid w:val="03496CA5"/>
    <w:rsid w:val="036F2FCB"/>
    <w:rsid w:val="03B2599D"/>
    <w:rsid w:val="043C5F8E"/>
    <w:rsid w:val="049941F3"/>
    <w:rsid w:val="04A60F90"/>
    <w:rsid w:val="04D2103C"/>
    <w:rsid w:val="04D550AF"/>
    <w:rsid w:val="067207F3"/>
    <w:rsid w:val="06AE7B19"/>
    <w:rsid w:val="06B83B39"/>
    <w:rsid w:val="06DE29E2"/>
    <w:rsid w:val="07702E6D"/>
    <w:rsid w:val="07A86AAB"/>
    <w:rsid w:val="07C65825"/>
    <w:rsid w:val="083F572B"/>
    <w:rsid w:val="08CA7A64"/>
    <w:rsid w:val="09067414"/>
    <w:rsid w:val="09170A81"/>
    <w:rsid w:val="0A042406"/>
    <w:rsid w:val="0AC27E84"/>
    <w:rsid w:val="0B0F5B25"/>
    <w:rsid w:val="0B633F8B"/>
    <w:rsid w:val="0BD256C9"/>
    <w:rsid w:val="0C353D15"/>
    <w:rsid w:val="0D3F0613"/>
    <w:rsid w:val="0D617282"/>
    <w:rsid w:val="0D7141C6"/>
    <w:rsid w:val="0E2A3E7D"/>
    <w:rsid w:val="0E4B2183"/>
    <w:rsid w:val="0EB3359B"/>
    <w:rsid w:val="0EEF0B2E"/>
    <w:rsid w:val="0EF63D03"/>
    <w:rsid w:val="0F661726"/>
    <w:rsid w:val="0F772EC6"/>
    <w:rsid w:val="0F877334"/>
    <w:rsid w:val="0FFD75C9"/>
    <w:rsid w:val="10182B28"/>
    <w:rsid w:val="10655AA5"/>
    <w:rsid w:val="109160DD"/>
    <w:rsid w:val="10947BCD"/>
    <w:rsid w:val="10BE4C49"/>
    <w:rsid w:val="110552F3"/>
    <w:rsid w:val="114B3E5E"/>
    <w:rsid w:val="115E3FEE"/>
    <w:rsid w:val="116B384E"/>
    <w:rsid w:val="11960C1C"/>
    <w:rsid w:val="11CD7934"/>
    <w:rsid w:val="11DD16C8"/>
    <w:rsid w:val="130A20A3"/>
    <w:rsid w:val="13352CE1"/>
    <w:rsid w:val="13E07D60"/>
    <w:rsid w:val="14D72B76"/>
    <w:rsid w:val="150177FB"/>
    <w:rsid w:val="15875F52"/>
    <w:rsid w:val="15B73666"/>
    <w:rsid w:val="15C30E4B"/>
    <w:rsid w:val="15C42D02"/>
    <w:rsid w:val="15D849BA"/>
    <w:rsid w:val="168A2EA6"/>
    <w:rsid w:val="17A7678E"/>
    <w:rsid w:val="17D5194F"/>
    <w:rsid w:val="180A4FDB"/>
    <w:rsid w:val="1840056E"/>
    <w:rsid w:val="18C977C0"/>
    <w:rsid w:val="192177D8"/>
    <w:rsid w:val="196A001E"/>
    <w:rsid w:val="198331C0"/>
    <w:rsid w:val="19C92FDD"/>
    <w:rsid w:val="19DB061A"/>
    <w:rsid w:val="19E576EB"/>
    <w:rsid w:val="19FF4562"/>
    <w:rsid w:val="19FF664E"/>
    <w:rsid w:val="1A091F78"/>
    <w:rsid w:val="1A2924B7"/>
    <w:rsid w:val="1A6D6D72"/>
    <w:rsid w:val="1AEB4D61"/>
    <w:rsid w:val="1B201E0F"/>
    <w:rsid w:val="1B4909F4"/>
    <w:rsid w:val="1C230AC0"/>
    <w:rsid w:val="1C4700FC"/>
    <w:rsid w:val="1C615CEF"/>
    <w:rsid w:val="1CBA4F51"/>
    <w:rsid w:val="1CDA72AF"/>
    <w:rsid w:val="1D632B53"/>
    <w:rsid w:val="1D7602A9"/>
    <w:rsid w:val="1DC83D3D"/>
    <w:rsid w:val="1E613949"/>
    <w:rsid w:val="1E9E2FB0"/>
    <w:rsid w:val="1EAE0073"/>
    <w:rsid w:val="1EBF357F"/>
    <w:rsid w:val="1EC629C1"/>
    <w:rsid w:val="1F000380"/>
    <w:rsid w:val="1F195A2C"/>
    <w:rsid w:val="1F3B094B"/>
    <w:rsid w:val="1F844F0F"/>
    <w:rsid w:val="205102FB"/>
    <w:rsid w:val="20762FC4"/>
    <w:rsid w:val="212C60E2"/>
    <w:rsid w:val="21DE15EF"/>
    <w:rsid w:val="22F23A25"/>
    <w:rsid w:val="23021A8B"/>
    <w:rsid w:val="2320540D"/>
    <w:rsid w:val="236E0539"/>
    <w:rsid w:val="23D44908"/>
    <w:rsid w:val="23E6478B"/>
    <w:rsid w:val="2422471A"/>
    <w:rsid w:val="24A85EE5"/>
    <w:rsid w:val="24B17F4B"/>
    <w:rsid w:val="24DB72C2"/>
    <w:rsid w:val="24F309A0"/>
    <w:rsid w:val="273C4EE5"/>
    <w:rsid w:val="276460F3"/>
    <w:rsid w:val="27660FAF"/>
    <w:rsid w:val="277166D1"/>
    <w:rsid w:val="277B4318"/>
    <w:rsid w:val="27B7194D"/>
    <w:rsid w:val="27CD66DB"/>
    <w:rsid w:val="27E34FFB"/>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A4545A"/>
    <w:rsid w:val="2AB71864"/>
    <w:rsid w:val="2AD30362"/>
    <w:rsid w:val="2AD5457D"/>
    <w:rsid w:val="2B161A0E"/>
    <w:rsid w:val="2B1D67DB"/>
    <w:rsid w:val="2B2D4A4E"/>
    <w:rsid w:val="2B6F188B"/>
    <w:rsid w:val="2BCA3DF7"/>
    <w:rsid w:val="2BEF595E"/>
    <w:rsid w:val="2BFA5278"/>
    <w:rsid w:val="2C175B5D"/>
    <w:rsid w:val="2C3975A5"/>
    <w:rsid w:val="2C3F44FD"/>
    <w:rsid w:val="2C8903AA"/>
    <w:rsid w:val="2CE43832"/>
    <w:rsid w:val="2D316C87"/>
    <w:rsid w:val="2D6A0D07"/>
    <w:rsid w:val="2DAA6B58"/>
    <w:rsid w:val="2E4A4A48"/>
    <w:rsid w:val="2F8715FA"/>
    <w:rsid w:val="2F9B534D"/>
    <w:rsid w:val="2FB43990"/>
    <w:rsid w:val="2FC040E2"/>
    <w:rsid w:val="30143D58"/>
    <w:rsid w:val="30240D0F"/>
    <w:rsid w:val="308158E7"/>
    <w:rsid w:val="309817B5"/>
    <w:rsid w:val="30A86679"/>
    <w:rsid w:val="313A36E6"/>
    <w:rsid w:val="31505F30"/>
    <w:rsid w:val="3177520D"/>
    <w:rsid w:val="31C7249B"/>
    <w:rsid w:val="31FB7654"/>
    <w:rsid w:val="32565D7D"/>
    <w:rsid w:val="32A7786E"/>
    <w:rsid w:val="334172DD"/>
    <w:rsid w:val="336E47B8"/>
    <w:rsid w:val="337D2302"/>
    <w:rsid w:val="33935522"/>
    <w:rsid w:val="33DE0EF4"/>
    <w:rsid w:val="3416678C"/>
    <w:rsid w:val="34486A39"/>
    <w:rsid w:val="34C13400"/>
    <w:rsid w:val="34F32864"/>
    <w:rsid w:val="35386E11"/>
    <w:rsid w:val="35612ABD"/>
    <w:rsid w:val="35E035B6"/>
    <w:rsid w:val="36B702D4"/>
    <w:rsid w:val="36F77DA1"/>
    <w:rsid w:val="375B2943"/>
    <w:rsid w:val="38066796"/>
    <w:rsid w:val="38086A4E"/>
    <w:rsid w:val="38176C95"/>
    <w:rsid w:val="38C32119"/>
    <w:rsid w:val="38EE054F"/>
    <w:rsid w:val="39440A0C"/>
    <w:rsid w:val="394C3E17"/>
    <w:rsid w:val="398443D3"/>
    <w:rsid w:val="39A60AF6"/>
    <w:rsid w:val="3AA12D62"/>
    <w:rsid w:val="3B2319C9"/>
    <w:rsid w:val="3B5D5890"/>
    <w:rsid w:val="3BA6683D"/>
    <w:rsid w:val="3BC431AC"/>
    <w:rsid w:val="3C012639"/>
    <w:rsid w:val="3D9F65F8"/>
    <w:rsid w:val="3DA52B6A"/>
    <w:rsid w:val="3E833FCF"/>
    <w:rsid w:val="3EC32162"/>
    <w:rsid w:val="3EE3321B"/>
    <w:rsid w:val="3EE93EED"/>
    <w:rsid w:val="3F177A97"/>
    <w:rsid w:val="3FB24815"/>
    <w:rsid w:val="3FF57BF1"/>
    <w:rsid w:val="41590DEA"/>
    <w:rsid w:val="416C231C"/>
    <w:rsid w:val="41C31810"/>
    <w:rsid w:val="41CC7876"/>
    <w:rsid w:val="41D659E7"/>
    <w:rsid w:val="425F5317"/>
    <w:rsid w:val="428A15BF"/>
    <w:rsid w:val="42BB7663"/>
    <w:rsid w:val="432A3936"/>
    <w:rsid w:val="43403CE1"/>
    <w:rsid w:val="434765EB"/>
    <w:rsid w:val="43883C6E"/>
    <w:rsid w:val="43A3164E"/>
    <w:rsid w:val="43C43532"/>
    <w:rsid w:val="44332E1A"/>
    <w:rsid w:val="444D6BE2"/>
    <w:rsid w:val="44692B43"/>
    <w:rsid w:val="44BF2CE3"/>
    <w:rsid w:val="44BF6C07"/>
    <w:rsid w:val="44FB0BC1"/>
    <w:rsid w:val="450E6775"/>
    <w:rsid w:val="458715A5"/>
    <w:rsid w:val="462C7B1B"/>
    <w:rsid w:val="463F394A"/>
    <w:rsid w:val="46BF2EEE"/>
    <w:rsid w:val="47013FF5"/>
    <w:rsid w:val="47B7079C"/>
    <w:rsid w:val="48190937"/>
    <w:rsid w:val="484A2C8B"/>
    <w:rsid w:val="48500FEB"/>
    <w:rsid w:val="491A0F78"/>
    <w:rsid w:val="49284D7B"/>
    <w:rsid w:val="49543DC1"/>
    <w:rsid w:val="4A0F39E7"/>
    <w:rsid w:val="4ABF34BD"/>
    <w:rsid w:val="4B364032"/>
    <w:rsid w:val="4B3B68BB"/>
    <w:rsid w:val="4B443785"/>
    <w:rsid w:val="4B537C75"/>
    <w:rsid w:val="4B9A7FA7"/>
    <w:rsid w:val="4BF65309"/>
    <w:rsid w:val="4C0D7EE7"/>
    <w:rsid w:val="4C431ECB"/>
    <w:rsid w:val="4C966ABB"/>
    <w:rsid w:val="4CC33C9F"/>
    <w:rsid w:val="4D0E0FA5"/>
    <w:rsid w:val="4D2F2428"/>
    <w:rsid w:val="4DC50570"/>
    <w:rsid w:val="4E760D0B"/>
    <w:rsid w:val="4E8F65E3"/>
    <w:rsid w:val="4EC80245"/>
    <w:rsid w:val="4ED65AC3"/>
    <w:rsid w:val="4F596A69"/>
    <w:rsid w:val="4F68747D"/>
    <w:rsid w:val="50063DD3"/>
    <w:rsid w:val="505863A4"/>
    <w:rsid w:val="50591CBD"/>
    <w:rsid w:val="50A240F7"/>
    <w:rsid w:val="516502B5"/>
    <w:rsid w:val="517D2C46"/>
    <w:rsid w:val="51971C1E"/>
    <w:rsid w:val="51FF2E33"/>
    <w:rsid w:val="525877BC"/>
    <w:rsid w:val="5272504D"/>
    <w:rsid w:val="52CA50F4"/>
    <w:rsid w:val="530E7C08"/>
    <w:rsid w:val="543D24BF"/>
    <w:rsid w:val="548754B8"/>
    <w:rsid w:val="54CA318A"/>
    <w:rsid w:val="54D70849"/>
    <w:rsid w:val="55517AB0"/>
    <w:rsid w:val="55C71477"/>
    <w:rsid w:val="55F36710"/>
    <w:rsid w:val="57192BB8"/>
    <w:rsid w:val="572D0332"/>
    <w:rsid w:val="5734671F"/>
    <w:rsid w:val="57423EBA"/>
    <w:rsid w:val="57813298"/>
    <w:rsid w:val="57825F9E"/>
    <w:rsid w:val="57BB500C"/>
    <w:rsid w:val="58753EBA"/>
    <w:rsid w:val="58E426FC"/>
    <w:rsid w:val="58EA724C"/>
    <w:rsid w:val="58FC3B2E"/>
    <w:rsid w:val="59063548"/>
    <w:rsid w:val="59FB7924"/>
    <w:rsid w:val="5A6776CD"/>
    <w:rsid w:val="5ADD1E8F"/>
    <w:rsid w:val="5AE6303A"/>
    <w:rsid w:val="5B155A7C"/>
    <w:rsid w:val="5B442B97"/>
    <w:rsid w:val="5B977B3E"/>
    <w:rsid w:val="5C042D63"/>
    <w:rsid w:val="5C5B0B6B"/>
    <w:rsid w:val="5C8B3572"/>
    <w:rsid w:val="5CB643E4"/>
    <w:rsid w:val="5D8075D8"/>
    <w:rsid w:val="5D8D11F8"/>
    <w:rsid w:val="5E2D5305"/>
    <w:rsid w:val="5F1D65AC"/>
    <w:rsid w:val="5F230066"/>
    <w:rsid w:val="5F814D8D"/>
    <w:rsid w:val="5FA47678"/>
    <w:rsid w:val="5FB04B27"/>
    <w:rsid w:val="5FE455B0"/>
    <w:rsid w:val="60453F52"/>
    <w:rsid w:val="60504E56"/>
    <w:rsid w:val="60535261"/>
    <w:rsid w:val="62201466"/>
    <w:rsid w:val="627A5057"/>
    <w:rsid w:val="62A033DD"/>
    <w:rsid w:val="62B113CD"/>
    <w:rsid w:val="62BC156A"/>
    <w:rsid w:val="62D376AD"/>
    <w:rsid w:val="63002758"/>
    <w:rsid w:val="63453F53"/>
    <w:rsid w:val="634C50C6"/>
    <w:rsid w:val="63886101"/>
    <w:rsid w:val="63E072F9"/>
    <w:rsid w:val="63E738F2"/>
    <w:rsid w:val="63F815B2"/>
    <w:rsid w:val="648B2856"/>
    <w:rsid w:val="64AD2180"/>
    <w:rsid w:val="64F46001"/>
    <w:rsid w:val="65534217"/>
    <w:rsid w:val="6577139D"/>
    <w:rsid w:val="658E5B0E"/>
    <w:rsid w:val="65D86017"/>
    <w:rsid w:val="65E6594A"/>
    <w:rsid w:val="660E1EAC"/>
    <w:rsid w:val="66123644"/>
    <w:rsid w:val="661600DA"/>
    <w:rsid w:val="66DF5346"/>
    <w:rsid w:val="66E14AAB"/>
    <w:rsid w:val="66EA035C"/>
    <w:rsid w:val="6736630B"/>
    <w:rsid w:val="67EE0E11"/>
    <w:rsid w:val="687306F3"/>
    <w:rsid w:val="68DF3109"/>
    <w:rsid w:val="693365A4"/>
    <w:rsid w:val="693F2885"/>
    <w:rsid w:val="699F5DE9"/>
    <w:rsid w:val="6A9776F8"/>
    <w:rsid w:val="6AAF0A00"/>
    <w:rsid w:val="6AEF34F2"/>
    <w:rsid w:val="6B046820"/>
    <w:rsid w:val="6B234F4A"/>
    <w:rsid w:val="6B46344D"/>
    <w:rsid w:val="6C036BBA"/>
    <w:rsid w:val="6C5F0204"/>
    <w:rsid w:val="6C69186D"/>
    <w:rsid w:val="6C7D443F"/>
    <w:rsid w:val="6C8851EE"/>
    <w:rsid w:val="6CCF1622"/>
    <w:rsid w:val="6CE7035E"/>
    <w:rsid w:val="6DB1246A"/>
    <w:rsid w:val="6DF03DD4"/>
    <w:rsid w:val="6E7538B1"/>
    <w:rsid w:val="6EAE5472"/>
    <w:rsid w:val="6EE020C5"/>
    <w:rsid w:val="6F405510"/>
    <w:rsid w:val="6F8A16B4"/>
    <w:rsid w:val="702F5608"/>
    <w:rsid w:val="70587DE3"/>
    <w:rsid w:val="708F2CC4"/>
    <w:rsid w:val="709444F0"/>
    <w:rsid w:val="710913DD"/>
    <w:rsid w:val="71182116"/>
    <w:rsid w:val="71205936"/>
    <w:rsid w:val="7144725F"/>
    <w:rsid w:val="71477CCB"/>
    <w:rsid w:val="7178018F"/>
    <w:rsid w:val="71811919"/>
    <w:rsid w:val="71B63709"/>
    <w:rsid w:val="71BA40BB"/>
    <w:rsid w:val="71CD052F"/>
    <w:rsid w:val="7201751D"/>
    <w:rsid w:val="72BB1ECB"/>
    <w:rsid w:val="72CB4E89"/>
    <w:rsid w:val="73740A39"/>
    <w:rsid w:val="73C535D6"/>
    <w:rsid w:val="741575E8"/>
    <w:rsid w:val="742B746E"/>
    <w:rsid w:val="74736F42"/>
    <w:rsid w:val="74AA2238"/>
    <w:rsid w:val="74CA7F29"/>
    <w:rsid w:val="75112783"/>
    <w:rsid w:val="752B1D3E"/>
    <w:rsid w:val="75913D16"/>
    <w:rsid w:val="763C0048"/>
    <w:rsid w:val="77135965"/>
    <w:rsid w:val="77262B54"/>
    <w:rsid w:val="772D4414"/>
    <w:rsid w:val="773A5C43"/>
    <w:rsid w:val="775947BB"/>
    <w:rsid w:val="77AD276B"/>
    <w:rsid w:val="77B87094"/>
    <w:rsid w:val="77C96E08"/>
    <w:rsid w:val="77F739E6"/>
    <w:rsid w:val="77FF035B"/>
    <w:rsid w:val="789E2748"/>
    <w:rsid w:val="79500F4C"/>
    <w:rsid w:val="7986195D"/>
    <w:rsid w:val="79A00AB5"/>
    <w:rsid w:val="79E005EE"/>
    <w:rsid w:val="7A044DC4"/>
    <w:rsid w:val="7A865511"/>
    <w:rsid w:val="7AA20E97"/>
    <w:rsid w:val="7AAA4D40"/>
    <w:rsid w:val="7ABC4A73"/>
    <w:rsid w:val="7AC10876"/>
    <w:rsid w:val="7B2F16E9"/>
    <w:rsid w:val="7B334ED0"/>
    <w:rsid w:val="7C4B6886"/>
    <w:rsid w:val="7C71236F"/>
    <w:rsid w:val="7C7766B6"/>
    <w:rsid w:val="7C7B25BC"/>
    <w:rsid w:val="7C8D2B6B"/>
    <w:rsid w:val="7D55069E"/>
    <w:rsid w:val="7D670C49"/>
    <w:rsid w:val="7D711B45"/>
    <w:rsid w:val="7E5F5E41"/>
    <w:rsid w:val="7E78432D"/>
    <w:rsid w:val="7E8E02D3"/>
    <w:rsid w:val="7EA902C5"/>
    <w:rsid w:val="7EAA3560"/>
    <w:rsid w:val="7ECF553C"/>
    <w:rsid w:val="7EF10E29"/>
    <w:rsid w:val="7F15031C"/>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autoRedefine/>
    <w:qFormat/>
    <w:uiPriority w:val="0"/>
    <w:rPr>
      <w:b/>
      <w:bCs/>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6363</Words>
  <Characters>6798</Characters>
  <Lines>9</Lines>
  <Paragraphs>2</Paragraphs>
  <TotalTime>1325</TotalTime>
  <ScaleCrop>false</ScaleCrop>
  <LinksUpToDate>false</LinksUpToDate>
  <CharactersWithSpaces>6809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左先生</cp:lastModifiedBy>
  <cp:lastPrinted>2025-04-11T09:21:00Z</cp:lastPrinted>
  <dcterms:modified xsi:type="dcterms:W3CDTF">2026-03-30T10:47:33Z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D205D337913B4C3F900113F0C8BF432B_13</vt:lpwstr>
  </property>
  <property fmtid="{D5CDD505-2E9C-101B-9397-08002B2CF9AE}" pid="4" name="KSOTemplateDocerSaveRecord">
    <vt:lpwstr>eyJoZGlkIjoiNDViN2Y4ODlkMDA0YmMxNGIwZWQzNjA4YTFjYmU5YmIiLCJ1c2VySWQiOiIzMTUyMzYyMTYifQ==</vt:lpwstr>
  </property>
</Properties>
</file>