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01054">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4A0FBCAE">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767395E3">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15C7E96C">
      <w:pPr>
        <w:pStyle w:val="2"/>
        <w:rPr>
          <w:rFonts w:hint="eastAsia" w:ascii="Times New Roman" w:hAnsi="宋体" w:cs="宋体"/>
          <w:color w:val="auto"/>
          <w:kern w:val="0"/>
          <w:sz w:val="36"/>
          <w:szCs w:val="36"/>
          <w:highlight w:val="none"/>
          <w:lang w:eastAsia="zh-CN"/>
        </w:rPr>
      </w:pPr>
    </w:p>
    <w:p w14:paraId="4F0A4925">
      <w:pPr>
        <w:rPr>
          <w:rFonts w:hint="eastAsia" w:ascii="Times New Roman" w:hAnsi="宋体" w:cs="宋体"/>
          <w:color w:val="auto"/>
          <w:kern w:val="0"/>
          <w:sz w:val="36"/>
          <w:szCs w:val="36"/>
          <w:highlight w:val="none"/>
          <w:lang w:eastAsia="zh-CN"/>
        </w:rPr>
      </w:pPr>
    </w:p>
    <w:p w14:paraId="21FBAE8B">
      <w:pPr>
        <w:pStyle w:val="2"/>
        <w:rPr>
          <w:rFonts w:hint="eastAsia" w:ascii="Times New Roman" w:hAnsi="宋体" w:cs="宋体"/>
          <w:color w:val="auto"/>
          <w:kern w:val="0"/>
          <w:sz w:val="36"/>
          <w:szCs w:val="36"/>
          <w:highlight w:val="none"/>
          <w:lang w:eastAsia="zh-CN"/>
        </w:rPr>
      </w:pPr>
    </w:p>
    <w:p w14:paraId="159199D7">
      <w:pPr>
        <w:pStyle w:val="2"/>
        <w:rPr>
          <w:rFonts w:hint="eastAsia"/>
          <w:highlight w:val="none"/>
          <w:lang w:eastAsia="zh-CN"/>
        </w:rPr>
      </w:pPr>
    </w:p>
    <w:p w14:paraId="5B8EA667">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伙食补助和试训运动员津贴项目</w:t>
      </w:r>
    </w:p>
    <w:p w14:paraId="63BF98FE">
      <w:pPr>
        <w:ind w:left="2880" w:hanging="2880" w:hangingChars="900"/>
        <w:jc w:val="left"/>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新疆维吾尔自治区体育局体育训练     二大队</w:t>
      </w:r>
    </w:p>
    <w:p w14:paraId="6B72140A">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09BFFD5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：伊磊</w:t>
      </w:r>
    </w:p>
    <w:p w14:paraId="61475153">
      <w:pPr>
        <w:pageBreakBefore w:val="0"/>
        <w:kinsoku/>
        <w:wordWrap/>
        <w:overflowPunct/>
        <w:topLinePunct w:val="0"/>
        <w:autoSpaceDE/>
        <w:autoSpaceDN/>
        <w:bidi w:val="0"/>
        <w:adjustRightInd/>
        <w:snapToGrid/>
        <w:spacing w:line="600" w:lineRule="exact"/>
        <w:textAlignment w:val="auto"/>
        <w:rPr>
          <w:rFonts w:hint="eastAsia" w:ascii="黑体" w:hAnsi="黑体" w:eastAsia="黑体"/>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年</w:t>
      </w:r>
      <w:bookmarkStart w:id="0" w:name="_GoBack"/>
      <w:bookmarkEnd w:id="0"/>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18日</w:t>
      </w:r>
    </w:p>
    <w:p w14:paraId="2FBCF4BC">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B1CCC5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E8964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A911C63">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kern w:val="2"/>
          <w:sz w:val="30"/>
          <w:szCs w:val="30"/>
          <w:highlight w:val="none"/>
        </w:rPr>
      </w:pPr>
      <w:r>
        <w:rPr>
          <w:rFonts w:hint="eastAsia" w:ascii="仿宋_GB2312" w:hAnsi="仿宋_GB2312" w:eastAsia="仿宋_GB2312" w:cs="仿宋_GB2312"/>
          <w:color w:val="auto"/>
          <w:kern w:val="2"/>
          <w:sz w:val="32"/>
          <w:szCs w:val="32"/>
          <w:lang w:val="en-US" w:eastAsia="zh-CN" w:bidi="ar-SA"/>
        </w:rPr>
        <w:t>新疆维吾尔自治区体育局体育训练二大队前身为1975年恢复建立的新疆军事体育学校，1983年11月为适应国家体委体制改革正式更名建立“体育训练二大队”，2024年12月因机构改革转隶更名为“新疆维吾尔自治区三屯碑体育训练中心”，是新疆维吾尔自治区体育局直属全额事业单位（公益一类），地址位于乌鲁木齐市天山区三屯碑路37号，占地面积约为26万平方米（宗地图记录，面积包括现拳击、摔柔、足球3个单位区域面积）。职能为：</w:t>
      </w:r>
      <w:r>
        <w:rPr>
          <w:rFonts w:hint="eastAsia" w:ascii="仿宋" w:hAnsi="仿宋" w:eastAsia="仿宋" w:cs="仿宋"/>
          <w:sz w:val="32"/>
          <w:szCs w:val="32"/>
          <w:lang w:val="en-US" w:eastAsia="zh-CN"/>
        </w:rPr>
        <w:t>承担自治区射击、射箭、马术、自行车、航空模型、摩托车等运动队的训练和全国及以上竞赛队伍的组织集训工作、专业训练、国际国内各项赛事的参赛工作。</w:t>
      </w:r>
      <w:r>
        <w:rPr>
          <w:rFonts w:hint="eastAsia" w:ascii="仿宋_GB2312" w:hAnsi="仿宋_GB2312" w:eastAsia="仿宋_GB2312" w:cs="仿宋_GB2312"/>
          <w:color w:val="auto"/>
          <w:w w:val="100"/>
          <w:sz w:val="32"/>
          <w:szCs w:val="32"/>
          <w:lang w:eastAsia="zh-CN"/>
        </w:rPr>
        <w:t>自二大队成立以来，培养了巴黎奥运会女子团体射箭亚军安琦轩，北京奥运会男子团体射箭季军薛海峰，中国马术盛装舞步奥运参赛第一人刘丽娜，中国马术盛装舞步杭州亚运会团体亚军的兰超，小口径</w:t>
      </w:r>
      <w:r>
        <w:rPr>
          <w:rFonts w:hint="eastAsia" w:ascii="仿宋_GB2312" w:hAnsi="仿宋_GB2312" w:eastAsia="仿宋_GB2312" w:cs="仿宋_GB2312"/>
          <w:color w:val="auto"/>
          <w:w w:val="100"/>
          <w:sz w:val="32"/>
          <w:szCs w:val="32"/>
          <w:lang w:val="en-US" w:eastAsia="zh-CN"/>
        </w:rPr>
        <w:t>60发卧射世界锦标赛冠军李文杰，亚洲射击锦标赛男子50米卧射团体冠军唐晨亮，世界大学生运动会女子射箭团体冠军李新鑫，连续多年蝉联航模线操纵世锦赛和世界杯冠军的韩新平、杨钧等多名优秀运动员，</w:t>
      </w:r>
      <w:r>
        <w:rPr>
          <w:rFonts w:hint="eastAsia" w:ascii="仿宋_GB2312" w:hAnsi="仿宋_GB2312" w:eastAsia="仿宋_GB2312" w:cs="仿宋_GB2312"/>
          <w:color w:val="auto"/>
          <w:w w:val="100"/>
          <w:sz w:val="32"/>
          <w:szCs w:val="32"/>
          <w:lang w:eastAsia="zh-CN"/>
        </w:rPr>
        <w:t>各项目运动队团结奋斗、勇攀高峰，获得了优异的比赛成绩，为新疆体育事业做出了积极贡献。</w:t>
      </w:r>
    </w:p>
    <w:p w14:paraId="48EB9B8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0614E9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i w:val="0"/>
          <w:caps w:val="0"/>
          <w:color w:val="333333"/>
          <w:spacing w:val="0"/>
          <w:sz w:val="32"/>
          <w:szCs w:val="32"/>
          <w:shd w:val="clear" w:fill="FFFFFF"/>
        </w:rPr>
      </w:pPr>
      <w:r>
        <w:rPr>
          <w:rFonts w:hint="eastAsia" w:ascii="仿宋_GB2312" w:hAnsi="仿宋_GB2312" w:eastAsia="仿宋_GB2312" w:cs="仿宋_GB2312"/>
          <w:color w:val="auto"/>
          <w:w w:val="100"/>
          <w:sz w:val="32"/>
          <w:szCs w:val="32"/>
          <w:lang w:val="en-US" w:eastAsia="zh-CN"/>
        </w:rPr>
        <w:t>伙食补助和试训运动员津贴专项资金的正常使用和发放,保障了体训二大队各类运动员和教练员在训练、比赛中体能消耗所需营养和补充成本,二大队运动员在国内外各类重大赛事中取得了优异的成绩。主要给射击、射箭、马术、自行车、航空模型5个项目教练员、运动员、试训运动员、集训运动员合计209人每月补助伙食补助，以及给不少于36名试训运动员每月发放试训津贴；通过项目实施保障了运动队营养摄入、饮食搭配，做到营养与膳食科学摄取配比；保障了运动队食品安全，严禁、杜绝了兴奋剂误食现象；保障了试训运动员津贴切实发放到位。</w:t>
      </w:r>
    </w:p>
    <w:p w14:paraId="147D3CD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24C436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6E31021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710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359.44</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98.28%</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56488B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6B58513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主要给不少于209人每月补助伙食补助，以及不少于36名运动员每月发放试训津贴；通过项目实施保障运动队营养摄入、饮食搭配，做到营养与膳食科学摄取配比；保障运动队食品安全，严禁、杜绝兴奋剂误食现象；保障试训运动员津贴切实发放到位。</w:t>
      </w:r>
    </w:p>
    <w:p w14:paraId="3295A5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04E3D14D">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71391F85">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74AACCA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kern w:val="0"/>
          <w:sz w:val="32"/>
          <w:szCs w:val="32"/>
        </w:rPr>
        <w:t>伙食补助和试训运动员津贴</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4D1ECCF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F3203A4">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3D70E9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0B51F4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1C0431A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6E73DCD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757492F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0E8CD3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745601D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020CD86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EEAAF2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涉及二级指标</w:t>
      </w:r>
      <w:r>
        <w:rPr>
          <w:rFonts w:hint="eastAsia" w:ascii="仿宋_GB2312" w:hAnsi="仿宋_GB2312" w:cs="仿宋_GB2312"/>
          <w:color w:val="000000" w:themeColor="text1"/>
          <w:sz w:val="32"/>
          <w:szCs w:val="32"/>
          <w:highlight w:val="none"/>
          <w:shd w:val="clear" w:color="auto" w:fill="auto"/>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个，三级指标17个</w:t>
      </w:r>
      <w:r>
        <w:rPr>
          <w:rFonts w:hint="eastAsia" w:ascii="仿宋_GB2312" w:hAnsi="仿宋_GB2312" w:eastAsia="仿宋_GB2312" w:cs="仿宋_GB2312"/>
          <w:color w:val="auto"/>
          <w:sz w:val="32"/>
          <w:szCs w:val="32"/>
          <w:highlight w:val="none"/>
          <w:lang w:val="en-US" w:eastAsia="zh-CN"/>
        </w:rPr>
        <w:t>，具体评价指标体系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23CA0FEE">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314C0E8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37F264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0052782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6C233EC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21BB0C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236142B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2AA6EEB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2772648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1FE9E0F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1D9F633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25712D1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38C8EB4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6D531A2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281E3F3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DA4E89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52EBAE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6542E7F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0240CD1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3F1EA18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54E88FAC">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20B3C9F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3D0E9F9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经认真对照《项目支出绩效评价指标体系》，我单位伙食补助和试训运动员津贴指标都较好地达到了相关要求，项目评价得分：95分，评价等级为：优。具体得分情况附表说明：</w:t>
      </w:r>
    </w:p>
    <w:p w14:paraId="413F2D94">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3512D8EC">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7BD9AB3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85</w:t>
      </w:r>
      <w:r>
        <w:rPr>
          <w:rFonts w:hint="eastAsia" w:ascii="仿宋_GB2312" w:hAnsi="仿宋_GB2312" w:eastAsia="仿宋_GB2312" w:cs="仿宋_GB2312"/>
          <w:color w:val="auto"/>
          <w:sz w:val="32"/>
          <w:szCs w:val="32"/>
          <w:highlight w:val="none"/>
          <w:lang w:val="en-US" w:eastAsia="zh-CN"/>
        </w:rPr>
        <w:t>%。</w:t>
      </w:r>
    </w:p>
    <w:p w14:paraId="2168B1D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26E29C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6FEBCB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w:t>
      </w:r>
      <w:r>
        <w:rPr>
          <w:rFonts w:hint="eastAsia" w:ascii="仿宋_GB2312" w:hAnsi="仿宋_GB2312" w:eastAsia="仿宋_GB2312" w:cs="仿宋_GB2312"/>
          <w:color w:val="000000"/>
          <w:kern w:val="0"/>
          <w:sz w:val="32"/>
          <w:szCs w:val="32"/>
        </w:rPr>
        <w:t>《关于调整运动员教练员伙食补助标准的通知》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000000"/>
          <w:kern w:val="0"/>
          <w:sz w:val="32"/>
          <w:szCs w:val="32"/>
        </w:rPr>
        <w:t>新财教[2021]116号</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000000"/>
          <w:kern w:val="0"/>
          <w:sz w:val="32"/>
          <w:szCs w:val="32"/>
        </w:rPr>
        <w:t>《人力资源社会保障部财政部关于调整体育运动员体育津贴标准的通知》</w:t>
      </w:r>
      <w:r>
        <w:rPr>
          <w:rFonts w:hint="eastAsia" w:ascii="仿宋_GB2312" w:hAnsi="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人社部发〔2022〕49号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《关于调整体育运动员体育津贴标准的通知》</w:t>
      </w:r>
      <w:r>
        <w:rPr>
          <w:rFonts w:hint="eastAsia" w:ascii="仿宋_GB2312" w:hAnsi="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新人社函〔2022〕248号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auto"/>
          <w:sz w:val="32"/>
          <w:szCs w:val="32"/>
          <w:highlight w:val="none"/>
          <w:lang w:val="en-US" w:eastAsia="zh-CN"/>
        </w:rPr>
        <w:t>，符合国家法律法规和相关政策；</w:t>
      </w:r>
    </w:p>
    <w:p w14:paraId="7D5213C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68362AB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ECF02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1AD67A2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65DAC9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5285128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9C39F9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shd w:val="clear" w:color="auto" w:fill="auto"/>
          <w:lang w:val="en-US" w:eastAsia="zh-CN"/>
        </w:rPr>
        <w:t>。项目绩</w:t>
      </w:r>
      <w:r>
        <w:rPr>
          <w:rFonts w:hint="eastAsia" w:ascii="仿宋_GB2312" w:hAnsi="仿宋_GB2312" w:eastAsia="仿宋_GB2312" w:cs="仿宋_GB2312"/>
          <w:color w:val="auto"/>
          <w:sz w:val="32"/>
          <w:szCs w:val="32"/>
          <w:highlight w:val="none"/>
          <w:lang w:val="en-US" w:eastAsia="zh-CN"/>
        </w:rPr>
        <w:t>效目标与实际工作内容具有相关性；项目预期产出效益和效果符合正常的业绩水平；与预算确定的项目投资额或资金量</w:t>
      </w:r>
      <w:r>
        <w:rPr>
          <w:rFonts w:hint="eastAsia" w:ascii="仿宋_GB2312" w:hAnsi="仿宋_GB2312" w:cs="仿宋_GB2312"/>
          <w:color w:val="auto"/>
          <w:sz w:val="32"/>
          <w:szCs w:val="32"/>
          <w:highlight w:val="none"/>
          <w:lang w:val="en-US" w:eastAsia="zh-CN"/>
        </w:rPr>
        <w:t>有一项不</w:t>
      </w:r>
      <w:r>
        <w:rPr>
          <w:rFonts w:hint="eastAsia" w:ascii="仿宋_GB2312" w:hAnsi="仿宋_GB2312" w:eastAsia="仿宋_GB2312" w:cs="仿宋_GB2312"/>
          <w:color w:val="auto"/>
          <w:sz w:val="32"/>
          <w:szCs w:val="32"/>
          <w:highlight w:val="none"/>
          <w:lang w:val="en-US" w:eastAsia="zh-CN"/>
        </w:rPr>
        <w:t>相匹配。</w:t>
      </w:r>
    </w:p>
    <w:p w14:paraId="7622E4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4733FC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w:t>
      </w:r>
    </w:p>
    <w:p w14:paraId="50DAA5F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3FBB67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：伙食补助人数&gt;=209人，运动员试训津贴发放人数&gt;=36人，试训津贴发放次数=12次，伙食费结算次数=12次。</w:t>
      </w:r>
    </w:p>
    <w:p w14:paraId="0FEFC3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：食品安全检测通过率&gt;=98%，兴奋剂发生率=0%，津贴发放准确率=100%。</w:t>
      </w:r>
    </w:p>
    <w:p w14:paraId="12816D8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：试训津贴发放成本&lt;=79.92万元，伙食补助发放成本&lt;=285.82万元。</w:t>
      </w:r>
    </w:p>
    <w:p w14:paraId="2CACF27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：受益运动员满意度&gt;=90%。</w:t>
      </w:r>
    </w:p>
    <w:p w14:paraId="32464D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w:t>
      </w:r>
      <w:r>
        <w:rPr>
          <w:rFonts w:hint="eastAsia" w:ascii="仿宋_GB2312" w:hAnsi="仿宋_GB2312" w:cs="仿宋_GB2312"/>
          <w:color w:val="auto"/>
          <w:sz w:val="32"/>
          <w:szCs w:val="32"/>
          <w:highlight w:val="none"/>
          <w:lang w:val="en-US" w:eastAsia="zh-CN"/>
        </w:rPr>
        <w:t>有完成率不是100%的</w:t>
      </w:r>
      <w:r>
        <w:rPr>
          <w:rFonts w:hint="eastAsia" w:ascii="仿宋_GB2312" w:hAnsi="仿宋_GB2312" w:eastAsia="仿宋_GB2312" w:cs="仿宋_GB2312"/>
          <w:color w:val="auto"/>
          <w:sz w:val="32"/>
          <w:szCs w:val="32"/>
          <w:highlight w:val="none"/>
          <w:lang w:val="en-US" w:eastAsia="zh-CN"/>
        </w:rPr>
        <w:t>。</w:t>
      </w:r>
    </w:p>
    <w:p w14:paraId="7DD470C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w:t>
      </w:r>
      <w:r>
        <w:rPr>
          <w:rFonts w:hint="eastAsia" w:ascii="仿宋_GB2312" w:hAnsi="仿宋_GB2312" w:cs="仿宋_GB2312"/>
          <w:color w:val="auto"/>
          <w:sz w:val="32"/>
          <w:szCs w:val="32"/>
          <w:highlight w:val="none"/>
          <w:lang w:val="en-US" w:eastAsia="zh-CN"/>
        </w:rPr>
        <w:t>有一项指标不</w:t>
      </w:r>
      <w:r>
        <w:rPr>
          <w:rFonts w:hint="eastAsia" w:ascii="仿宋_GB2312" w:hAnsi="仿宋_GB2312" w:eastAsia="仿宋_GB2312" w:cs="仿宋_GB2312"/>
          <w:color w:val="auto"/>
          <w:sz w:val="32"/>
          <w:szCs w:val="32"/>
          <w:highlight w:val="none"/>
          <w:lang w:val="en-US" w:eastAsia="zh-CN"/>
        </w:rPr>
        <w:t>相对应。</w:t>
      </w:r>
    </w:p>
    <w:p w14:paraId="464E69A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分）</w:t>
      </w:r>
    </w:p>
    <w:p w14:paraId="6374DE2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分）：本项目预算</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w:t>
      </w:r>
      <w:r>
        <w:rPr>
          <w:rFonts w:hint="eastAsia" w:ascii="仿宋_GB2312" w:hAnsi="仿宋_GB2312" w:cs="仿宋_GB2312"/>
          <w:color w:val="auto"/>
          <w:sz w:val="32"/>
          <w:szCs w:val="32"/>
          <w:highlight w:val="none"/>
          <w:lang w:val="en-US" w:eastAsia="zh-CN"/>
        </w:rPr>
        <w:t>稍有偏差</w:t>
      </w:r>
      <w:r>
        <w:rPr>
          <w:rFonts w:hint="eastAsia" w:ascii="仿宋_GB2312" w:hAnsi="仿宋_GB2312" w:eastAsia="仿宋_GB2312" w:cs="仿宋_GB2312"/>
          <w:color w:val="auto"/>
          <w:sz w:val="32"/>
          <w:szCs w:val="32"/>
          <w:highlight w:val="none"/>
          <w:lang w:val="en-US" w:eastAsia="zh-CN"/>
        </w:rPr>
        <w:t>。</w:t>
      </w:r>
    </w:p>
    <w:p w14:paraId="13B9BAD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w:t>
      </w:r>
      <w:r>
        <w:rPr>
          <w:rFonts w:hint="eastAsia" w:ascii="仿宋_GB2312" w:hAnsi="仿宋_GB2312" w:cs="仿宋_GB2312"/>
          <w:color w:val="auto"/>
          <w:sz w:val="32"/>
          <w:szCs w:val="32"/>
          <w:highlight w:val="none"/>
          <w:lang w:val="en-US" w:eastAsia="zh-CN"/>
        </w:rPr>
        <w:t>稍有偏差</w:t>
      </w:r>
      <w:r>
        <w:rPr>
          <w:rFonts w:hint="eastAsia" w:ascii="仿宋_GB2312" w:hAnsi="仿宋_GB2312" w:eastAsia="仿宋_GB2312" w:cs="仿宋_GB2312"/>
          <w:color w:val="auto"/>
          <w:sz w:val="32"/>
          <w:szCs w:val="32"/>
          <w:highlight w:val="none"/>
          <w:lang w:val="en-US" w:eastAsia="zh-CN"/>
        </w:rPr>
        <w:t>。</w:t>
      </w:r>
    </w:p>
    <w:p w14:paraId="446201D5">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10D11F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846C54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分）</w:t>
      </w:r>
    </w:p>
    <w:p w14:paraId="31178D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3EF8C96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万元，资金到位率100%。</w:t>
      </w:r>
    </w:p>
    <w:p w14:paraId="26B8555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764B47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本项目实际到位资金365.74万元，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eastAsia="仿宋_GB2312" w:cs="仿宋_GB2312"/>
          <w:color w:val="auto"/>
          <w:sz w:val="32"/>
          <w:szCs w:val="32"/>
          <w:highlight w:val="none"/>
          <w:lang w:val="en-US" w:eastAsia="zh-CN"/>
        </w:rPr>
        <w:t>359.44万元，预算执行率98.27%。本项目任务由于实际试训运动员在试训期间因个人原因中途自愿离队故未全部发放，未发放的试训运动员津贴6.3万元财政已收回，无资金结余。</w:t>
      </w:r>
    </w:p>
    <w:p w14:paraId="7174B54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1F6A29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3406A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643CF54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2054C7E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6E53690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71D4BFE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5C924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48AA8FC1">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25963DE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93BF34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53EC701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伙食补助人数</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&gt;=209人</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209人</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01DAF3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指标2：运动员试训津贴发放人数，指标值：&gt;=36人，实际完成值36人，指标完成率100%。</w:t>
      </w:r>
    </w:p>
    <w:p w14:paraId="3030DDC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指标3：试训津贴发放次数，指标值：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12次，实际完成值12次，指标完成率100%。</w:t>
      </w:r>
    </w:p>
    <w:p w14:paraId="07B542A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12次，实际完成值12次，指标完成率100%。</w:t>
      </w:r>
    </w:p>
    <w:p w14:paraId="1AE070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07E05A2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质量指标：指标1：食品安全检测通过率，指标值：</w:t>
      </w:r>
      <w:r>
        <w:rPr>
          <w:rFonts w:hint="eastAsia" w:ascii="仿宋_GB2312" w:hAnsi="仿宋_GB2312" w:eastAsia="仿宋_GB2312" w:cs="仿宋_GB2312"/>
          <w:color w:val="auto"/>
          <w:sz w:val="32"/>
          <w:szCs w:val="32"/>
          <w:highlight w:val="none"/>
          <w:lang w:val="en-US" w:eastAsia="zh-CN"/>
        </w:rPr>
        <w:t>&gt;=</w:t>
      </w:r>
      <w:r>
        <w:rPr>
          <w:rFonts w:hint="eastAsia" w:ascii="仿宋_GB2312" w:hAnsi="仿宋_GB2312" w:cs="仿宋_GB2312"/>
          <w:color w:val="auto"/>
          <w:sz w:val="32"/>
          <w:szCs w:val="32"/>
          <w:highlight w:val="none"/>
          <w:lang w:val="en-US" w:eastAsia="zh-CN"/>
        </w:rPr>
        <w:t>98%，实际完成值98%，指标完成率100%。</w:t>
      </w:r>
    </w:p>
    <w:p w14:paraId="115D6D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指标2：兴奋剂发生率，指标值：=0%，实际完成值0%，指标完成率100%。</w:t>
      </w:r>
    </w:p>
    <w:p w14:paraId="3BF6B9F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lang w:val="en-US" w:eastAsia="zh-CN"/>
        </w:rPr>
      </w:pPr>
      <w:r>
        <w:rPr>
          <w:rFonts w:hint="eastAsia" w:ascii="仿宋_GB2312" w:hAnsi="仿宋_GB2312" w:cs="仿宋_GB2312"/>
          <w:color w:val="auto"/>
          <w:sz w:val="32"/>
          <w:szCs w:val="32"/>
          <w:highlight w:val="none"/>
          <w:lang w:val="en-US" w:eastAsia="zh-CN"/>
        </w:rPr>
        <w:t>指标3：津贴发放准确率，指标值：</w:t>
      </w:r>
      <w:r>
        <w:rPr>
          <w:rFonts w:hint="eastAsia" w:ascii="仿宋_GB2312" w:hAnsi="仿宋_GB2312" w:eastAsia="仿宋_GB2312" w:cs="仿宋_GB2312"/>
          <w:color w:val="auto"/>
          <w:sz w:val="32"/>
          <w:szCs w:val="32"/>
          <w:highlight w:val="none"/>
          <w:lang w:val="en-US" w:eastAsia="zh-CN"/>
        </w:rPr>
        <w:t>&gt;=</w:t>
      </w:r>
      <w:r>
        <w:rPr>
          <w:rFonts w:hint="eastAsia" w:ascii="仿宋_GB2312" w:hAnsi="仿宋_GB2312" w:cs="仿宋_GB2312"/>
          <w:color w:val="auto"/>
          <w:sz w:val="32"/>
          <w:szCs w:val="32"/>
          <w:highlight w:val="none"/>
          <w:lang w:val="en-US" w:eastAsia="zh-CN"/>
        </w:rPr>
        <w:t>100%，实际完成值100%，指标完成率100%。</w:t>
      </w:r>
    </w:p>
    <w:p w14:paraId="39917AE0">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779D6B8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zh-TW" w:eastAsia="zh-TW"/>
        </w:rPr>
      </w:pPr>
      <w:r>
        <w:rPr>
          <w:rFonts w:hint="eastAsia" w:ascii="仿宋_GB2312" w:hAnsi="仿宋_GB2312" w:cs="仿宋_GB2312"/>
          <w:color w:val="auto"/>
          <w:sz w:val="32"/>
          <w:szCs w:val="32"/>
          <w:highlight w:val="none"/>
          <w:lang w:val="zh-TW" w:eastAsia="zh-TW"/>
        </w:rPr>
        <w:t>项目</w:t>
      </w:r>
      <w:r>
        <w:rPr>
          <w:rFonts w:hint="eastAsia" w:ascii="仿宋_GB2312" w:hAnsi="仿宋_GB2312" w:cs="仿宋_GB2312"/>
          <w:color w:val="auto"/>
          <w:sz w:val="32"/>
          <w:szCs w:val="32"/>
          <w:highlight w:val="none"/>
          <w:lang w:val="en-US" w:eastAsia="zh-CN"/>
        </w:rPr>
        <w:t>成本共1个二级指标</w:t>
      </w:r>
      <w:r>
        <w:rPr>
          <w:rFonts w:hint="eastAsia" w:ascii="仿宋_GB2312" w:hAnsi="仿宋_GB2312" w:cs="仿宋_GB2312"/>
          <w:color w:val="auto"/>
          <w:sz w:val="32"/>
          <w:szCs w:val="32"/>
          <w:highlight w:val="none"/>
          <w:lang w:val="zh-TW" w:eastAsia="zh-TW"/>
        </w:rPr>
        <w:t>。该项满分为</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9</w:t>
      </w:r>
      <w:r>
        <w:rPr>
          <w:rFonts w:hint="eastAsia" w:ascii="仿宋_GB2312" w:hAnsi="仿宋_GB2312" w:cs="仿宋_GB2312"/>
          <w:color w:val="auto"/>
          <w:sz w:val="32"/>
          <w:szCs w:val="32"/>
          <w:highlight w:val="none"/>
          <w:lang w:val="zh-TW" w:eastAsia="zh-TW"/>
        </w:rPr>
        <w:t>分，得分率</w:t>
      </w:r>
      <w:r>
        <w:rPr>
          <w:rFonts w:hint="eastAsia" w:ascii="仿宋_GB2312" w:hAnsi="仿宋_GB2312" w:cs="仿宋_GB2312"/>
          <w:color w:val="auto"/>
          <w:sz w:val="32"/>
          <w:szCs w:val="32"/>
          <w:highlight w:val="none"/>
          <w:lang w:val="en-US" w:eastAsia="zh-CN"/>
        </w:rPr>
        <w:t>90</w:t>
      </w:r>
      <w:r>
        <w:rPr>
          <w:rFonts w:hint="eastAsia" w:ascii="仿宋_GB2312" w:hAnsi="仿宋_GB2312" w:cs="仿宋_GB2312"/>
          <w:color w:val="auto"/>
          <w:sz w:val="32"/>
          <w:szCs w:val="32"/>
          <w:highlight w:val="none"/>
          <w:lang w:val="zh-TW" w:eastAsia="zh-TW"/>
        </w:rPr>
        <w:t>%。</w:t>
      </w:r>
    </w:p>
    <w:p w14:paraId="157C46B7">
      <w:pPr>
        <w:spacing w:line="560" w:lineRule="exact"/>
        <w:ind w:firstLine="640" w:firstLineChars="200"/>
        <w:outlineLvl w:val="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1、成本指标分析（得分9分）</w:t>
      </w:r>
    </w:p>
    <w:p w14:paraId="0450F852">
      <w:pPr>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经济成本指标：指标1：试训津贴发放成本，指标值：&lt;=79.92万元，实际完成值73.62万元，指标完成率92.11%。偏差原因：有离队试训运动员未发津贴；改进措施：按月及时发放</w:t>
      </w:r>
    </w:p>
    <w:p w14:paraId="598F9E10">
      <w:pPr>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p>
    <w:p w14:paraId="07CE2C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lang w:val="en-US"/>
        </w:rPr>
      </w:pPr>
      <w:r>
        <w:rPr>
          <w:rFonts w:hint="eastAsia" w:ascii="仿宋_GB2312" w:hAnsi="仿宋_GB2312" w:cs="仿宋_GB2312"/>
          <w:color w:val="auto"/>
          <w:sz w:val="32"/>
          <w:szCs w:val="32"/>
          <w:highlight w:val="none"/>
          <w:lang w:val="en-US" w:eastAsia="zh-CN"/>
        </w:rPr>
        <w:t>指标2：伙食补助发放成本，指标值：&lt;=285.82万元，实际完成值285.82万元，指标完成率100%。</w:t>
      </w:r>
    </w:p>
    <w:p w14:paraId="33203817">
      <w:pPr>
        <w:spacing w:line="560" w:lineRule="exact"/>
        <w:ind w:firstLine="643" w:firstLineChars="200"/>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47C4B5A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4C238F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w:t>
      </w:r>
      <w:r>
        <w:rPr>
          <w:rFonts w:hint="eastAsia" w:ascii="仿宋_GB2312" w:hAnsi="仿宋_GB2312" w:cs="仿宋_GB2312"/>
          <w:color w:val="auto"/>
          <w:sz w:val="32"/>
          <w:szCs w:val="32"/>
          <w:highlight w:val="none"/>
          <w:lang w:val="en-US" w:eastAsia="zh-CN"/>
        </w:rPr>
        <w:t>指标1：受益运动员满意度，指标值：</w:t>
      </w:r>
      <w:r>
        <w:rPr>
          <w:rFonts w:hint="eastAsia" w:ascii="仿宋_GB2312" w:hAnsi="仿宋_GB2312" w:eastAsia="仿宋_GB2312" w:cs="仿宋_GB2312"/>
          <w:color w:val="auto"/>
          <w:sz w:val="32"/>
          <w:szCs w:val="32"/>
          <w:highlight w:val="none"/>
          <w:lang w:val="en-US" w:eastAsia="zh-CN"/>
        </w:rPr>
        <w:t>&gt;=</w:t>
      </w:r>
      <w:r>
        <w:rPr>
          <w:rFonts w:hint="eastAsia" w:ascii="仿宋_GB2312" w:hAnsi="仿宋_GB2312" w:cs="仿宋_GB2312"/>
          <w:color w:val="auto"/>
          <w:sz w:val="32"/>
          <w:szCs w:val="32"/>
          <w:highlight w:val="none"/>
          <w:lang w:val="en-US" w:eastAsia="zh-CN"/>
        </w:rPr>
        <w:t>90%，实际完成值90%，指标完成率100%。</w:t>
      </w:r>
    </w:p>
    <w:p w14:paraId="6C22B1BE">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0247F2D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3F647FF5">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一是领导重视到位：高度重视，主要领导亲自抓，并予以充分的人力、财力保障。责任落实到位：将各项目工作列入年度干部绩效考核实施方案，将各项目工作落实到具体科室、具体岗位、具体个人。</w:t>
      </w:r>
    </w:p>
    <w:p w14:paraId="2AC6406B">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652DDF15">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三是健全项目管理制度</w:t>
      </w:r>
      <w:r>
        <w:rPr>
          <w:rFonts w:hint="eastAsia" w:ascii="仿宋_GB2312" w:hAnsi="仿宋_GB2312" w:eastAsia="仿宋_GB2312" w:cs="仿宋_GB2312"/>
          <w:sz w:val="32"/>
          <w:szCs w:val="32"/>
          <w:lang w:eastAsia="zh-CN"/>
        </w:rPr>
        <w:t>，严格执行资金制度管理条例</w:t>
      </w:r>
      <w:r>
        <w:rPr>
          <w:rFonts w:hint="eastAsia" w:ascii="仿宋_GB2312" w:hAnsi="仿宋_GB2312" w:eastAsia="仿宋_GB2312" w:cs="仿宋_GB2312"/>
          <w:sz w:val="32"/>
          <w:szCs w:val="32"/>
        </w:rPr>
        <w:t>。</w:t>
      </w:r>
    </w:p>
    <w:p w14:paraId="3D2B4291">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12178DCE">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Style w:val="12"/>
          <w:rFonts w:hint="eastAsia" w:ascii="仿宋_GB2312" w:hAnsi="仿宋_GB2312" w:eastAsia="仿宋_GB2312" w:cs="仿宋_GB2312"/>
          <w:spacing w:val="-4"/>
          <w:sz w:val="30"/>
          <w:szCs w:val="30"/>
        </w:rPr>
      </w:pPr>
      <w:r>
        <w:rPr>
          <w:rFonts w:hint="eastAsia" w:ascii="仿宋_GB2312" w:hAnsi="仿宋_GB2312" w:eastAsia="仿宋_GB2312" w:cs="仿宋_GB2312"/>
          <w:sz w:val="32"/>
          <w:szCs w:val="32"/>
        </w:rPr>
        <w:t>主要体现为</w:t>
      </w:r>
      <w:r>
        <w:rPr>
          <w:rFonts w:hint="eastAsia" w:ascii="仿宋_GB2312" w:hAnsi="仿宋_GB2312" w:eastAsia="仿宋_GB2312" w:cs="仿宋_GB2312"/>
          <w:sz w:val="32"/>
          <w:szCs w:val="32"/>
          <w:lang w:eastAsia="zh-CN"/>
        </w:rPr>
        <w:t>项目执行进度</w:t>
      </w:r>
      <w:r>
        <w:rPr>
          <w:rFonts w:hint="eastAsia" w:ascii="仿宋_GB2312" w:hAnsi="仿宋_GB2312" w:eastAsia="仿宋_GB2312" w:cs="仿宋_GB2312"/>
          <w:sz w:val="32"/>
          <w:szCs w:val="32"/>
        </w:rPr>
        <w:t>还需进一步夯实，</w:t>
      </w:r>
      <w:r>
        <w:rPr>
          <w:rFonts w:hint="eastAsia" w:ascii="仿宋_GB2312" w:hAnsi="仿宋_GB2312" w:eastAsia="仿宋_GB2312" w:cs="仿宋_GB2312"/>
          <w:sz w:val="32"/>
          <w:szCs w:val="32"/>
          <w:lang w:eastAsia="zh-CN"/>
        </w:rPr>
        <w:t>资金支付审批</w:t>
      </w:r>
      <w:r>
        <w:rPr>
          <w:rFonts w:hint="eastAsia" w:ascii="仿宋_GB2312" w:hAnsi="仿宋_GB2312" w:eastAsia="仿宋_GB2312" w:cs="仿宋_GB2312"/>
          <w:sz w:val="32"/>
          <w:szCs w:val="32"/>
        </w:rPr>
        <w:t>需要进一步提高；监督作用发挥不够充分。面对这些问题我们将认真分析，切实加以解决，进一步完善财务制度，规范财经纪律，严格控制非生产性开支，进一步提高项目支出水平。</w:t>
      </w:r>
    </w:p>
    <w:p w14:paraId="66C95DE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284F422C">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1、对项目实施过程中不具实际指导意义的项目指标予以剔除，更换更具操作性实用性指标；</w:t>
      </w:r>
    </w:p>
    <w:p w14:paraId="77188134">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2、进一步落实预算执行计划，确实做到进度与计划同步。</w:t>
      </w:r>
    </w:p>
    <w:p w14:paraId="0087612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加强项目资金的财务管理工作，项目严格按照相关规定要求，对批准的预算内客做好账务设置和财务管理。在资金使用过程中，严把监督审核关，建立健全内部审批制度。同时，定期不定期对资金使用、管理情况进行自查和检查，确保会计资料信息真实、及时、完整。</w:t>
      </w:r>
    </w:p>
    <w:p w14:paraId="153C675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4、资金的拨付有完整的审批程序和手续，确保各项制度落实见效，资金使用安全规范，在资金使用过程中，厉行节约、避免浪费，使项目资金能最大限度地发挥作用。</w:t>
      </w:r>
    </w:p>
    <w:p w14:paraId="367CFAF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5、根据项目实施后所达到的社会效益及群众满意度进行适度调整</w:t>
      </w:r>
      <w:r>
        <w:rPr>
          <w:rFonts w:hint="eastAsia" w:ascii="仿宋_GB2312" w:hAnsi="仿宋_GB2312" w:eastAsia="仿宋_GB2312" w:cs="仿宋_GB2312"/>
          <w:sz w:val="32"/>
          <w:szCs w:val="32"/>
          <w:lang w:eastAsia="zh-CN"/>
        </w:rPr>
        <w:t>。</w:t>
      </w:r>
    </w:p>
    <w:p w14:paraId="4A787059">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39C1DB0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83A90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swiss"/>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78715B96"/>
    <w:rsid w:val="10EA7240"/>
    <w:rsid w:val="13AA4977"/>
    <w:rsid w:val="14D86FD1"/>
    <w:rsid w:val="16985F3D"/>
    <w:rsid w:val="17CF567C"/>
    <w:rsid w:val="25002D7C"/>
    <w:rsid w:val="25827ABE"/>
    <w:rsid w:val="2C7C7C88"/>
    <w:rsid w:val="33F26952"/>
    <w:rsid w:val="3F5304F7"/>
    <w:rsid w:val="49372CE3"/>
    <w:rsid w:val="4B256252"/>
    <w:rsid w:val="4C5502AB"/>
    <w:rsid w:val="53CC6C4A"/>
    <w:rsid w:val="56B45E9F"/>
    <w:rsid w:val="5A8E37B2"/>
    <w:rsid w:val="5FE12967"/>
    <w:rsid w:val="652203B7"/>
    <w:rsid w:val="665101E2"/>
    <w:rsid w:val="69793CC5"/>
    <w:rsid w:val="6F4A5DFB"/>
    <w:rsid w:val="71B36AA1"/>
    <w:rsid w:val="72840611"/>
    <w:rsid w:val="78715B96"/>
    <w:rsid w:val="7AD37127"/>
    <w:rsid w:val="7CAA72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0"/>
    <w:pPr>
      <w:keepNext/>
      <w:keepLines/>
      <w:ind w:firstLine="0" w:firstLineChars="0"/>
      <w:jc w:val="left"/>
      <w:outlineLvl w:val="0"/>
    </w:pPr>
    <w:rPr>
      <w:rFonts w:eastAsia="黑体"/>
      <w:b/>
      <w:bCs/>
      <w:kern w:val="44"/>
      <w:sz w:val="36"/>
      <w:szCs w:val="44"/>
    </w:rPr>
  </w:style>
  <w:style w:type="paragraph" w:styleId="4">
    <w:name w:val="heading 2"/>
    <w:basedOn w:val="1"/>
    <w:next w:val="1"/>
    <w:link w:val="15"/>
    <w:unhideWhenUsed/>
    <w:qFormat/>
    <w:uiPriority w:val="0"/>
    <w:pPr>
      <w:keepNext/>
      <w:keepLines/>
      <w:spacing w:line="360" w:lineRule="auto"/>
      <w:ind w:firstLine="0" w:firstLineChars="0"/>
      <w:jc w:val="left"/>
      <w:outlineLvl w:val="1"/>
    </w:pPr>
    <w:rPr>
      <w:rFonts w:ascii="Cambria" w:hAnsi="Cambria"/>
      <w:b/>
      <w:bCs/>
      <w:kern w:val="0"/>
      <w:szCs w:val="32"/>
    </w:rPr>
  </w:style>
  <w:style w:type="paragraph" w:styleId="2">
    <w:name w:val="heading 3"/>
    <w:basedOn w:val="1"/>
    <w:next w:val="1"/>
    <w:link w:val="16"/>
    <w:unhideWhenUsed/>
    <w:qFormat/>
    <w:uiPriority w:val="0"/>
    <w:pPr>
      <w:keepNext/>
      <w:keepLines/>
      <w:spacing w:before="260" w:after="260" w:line="360" w:lineRule="auto"/>
      <w:outlineLvl w:val="2"/>
    </w:pPr>
    <w:rPr>
      <w:rFonts w:ascii="Calibri" w:hAnsi="Calibri"/>
      <w:bCs/>
      <w:kern w:val="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rFonts w:ascii="楷体_GB2312" w:hAnsi="华文中宋" w:eastAsia="楷体_GB2312" w:cs="楷体_GB2312"/>
      <w:sz w:val="32"/>
      <w:szCs w:val="32"/>
    </w:rPr>
  </w:style>
  <w:style w:type="paragraph" w:styleId="7">
    <w:name w:val="Body Text Indent 2"/>
    <w:basedOn w:val="1"/>
    <w:qFormat/>
    <w:uiPriority w:val="0"/>
    <w:pPr>
      <w:spacing w:line="480" w:lineRule="auto"/>
      <w:ind w:left="420" w:leftChars="200"/>
    </w:pPr>
  </w:style>
  <w:style w:type="paragraph" w:styleId="8">
    <w:name w:val="toc 1"/>
    <w:basedOn w:val="1"/>
    <w:next w:val="1"/>
    <w:qFormat/>
    <w:uiPriority w:val="0"/>
    <w:pPr>
      <w:spacing w:before="120" w:after="120"/>
      <w:jc w:val="left"/>
    </w:pPr>
    <w:rPr>
      <w:rFonts w:ascii="Calibri" w:hAnsi="Calibri" w:eastAsia="黑体" w:cs="Calibri"/>
      <w:bCs/>
      <w:caps/>
      <w:sz w:val="28"/>
      <w:szCs w:val="20"/>
    </w:rPr>
  </w:style>
  <w:style w:type="paragraph" w:styleId="9">
    <w:name w:val="Body Text First Indent"/>
    <w:basedOn w:val="6"/>
    <w:qFormat/>
    <w:uiPriority w:val="0"/>
    <w:pPr>
      <w:ind w:firstLine="420" w:firstLineChars="100"/>
    </w:pPr>
  </w:style>
  <w:style w:type="character" w:styleId="12">
    <w:name w:val="Strong"/>
    <w:basedOn w:val="11"/>
    <w:qFormat/>
    <w:uiPriority w:val="0"/>
    <w:rPr>
      <w:b/>
      <w:bCs/>
    </w:rPr>
  </w:style>
  <w:style w:type="character" w:customStyle="1" w:styleId="13">
    <w:name w:val="标题 1 字符"/>
    <w:link w:val="3"/>
    <w:qFormat/>
    <w:uiPriority w:val="0"/>
    <w:rPr>
      <w:rFonts w:ascii="Calibri" w:hAnsi="Calibri" w:eastAsia="黑体"/>
      <w:b/>
      <w:bCs/>
      <w:kern w:val="44"/>
      <w:sz w:val="44"/>
      <w:szCs w:val="44"/>
    </w:rPr>
  </w:style>
  <w:style w:type="paragraph" w:customStyle="1" w:styleId="14">
    <w:name w:val="正文_1_3"/>
    <w:qFormat/>
    <w:uiPriority w:val="0"/>
    <w:pPr>
      <w:widowControl w:val="0"/>
      <w:jc w:val="both"/>
    </w:pPr>
    <w:rPr>
      <w:rFonts w:ascii="Times New Roman" w:hAnsi="Times New Roman" w:eastAsia="宋体" w:cstheme="minorBidi"/>
      <w:kern w:val="2"/>
      <w:sz w:val="28"/>
      <w:szCs w:val="24"/>
      <w:lang w:val="en-US" w:eastAsia="zh-CN" w:bidi="ar-SA"/>
    </w:rPr>
  </w:style>
  <w:style w:type="character" w:customStyle="1" w:styleId="15">
    <w:name w:val="标题 2 Char"/>
    <w:link w:val="4"/>
    <w:qFormat/>
    <w:uiPriority w:val="99"/>
    <w:rPr>
      <w:rFonts w:ascii="Cambria" w:hAnsi="Cambria" w:eastAsia="仿宋"/>
      <w:b/>
      <w:bCs/>
      <w:sz w:val="30"/>
      <w:szCs w:val="32"/>
    </w:rPr>
  </w:style>
  <w:style w:type="character" w:customStyle="1" w:styleId="16">
    <w:name w:val="标题 3 Char"/>
    <w:link w:val="2"/>
    <w:qFormat/>
    <w:uiPriority w:val="99"/>
    <w:rPr>
      <w:rFonts w:eastAsia="仿宋"/>
      <w:bCs/>
      <w:sz w:val="3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6557</Words>
  <Characters>6893</Characters>
  <Lines>0</Lines>
  <Paragraphs>0</Paragraphs>
  <TotalTime>14</TotalTime>
  <ScaleCrop>false</ScaleCrop>
  <LinksUpToDate>false</LinksUpToDate>
  <CharactersWithSpaces>6899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2025-03-19T04:23:00Z</dcterms:created>
  <dc:creator>晓琳</dc:creator>
  <cp:lastModifiedBy>小狄</cp:lastModifiedBy>
  <dcterms:modified xsi:type="dcterms:W3CDTF">2025-08-22T11:47:15Z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BE3CE4F3E305474F92A2EF2588D849C8_11</vt:lpwstr>
  </property>
  <property fmtid="{D5CDD505-2E9C-101B-9397-08002B2CF9AE}" pid="4" name="KSOTemplateDocerSaveRecord">
    <vt:lpwstr>eyJoZGlkIjoiMWFmNTlmODMwNjU4YjNlOWYwZWYxYjhkNDFmM2Y5NDIiLCJ1c2VySWQiOiIzNzgyOTY3MzEifQ==</vt:lpwstr>
  </property>
</Properties>
</file>