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color w:val="auto"/>
          <w:sz w:val="36"/>
          <w:szCs w:val="36"/>
          <w:highlight w:val="none"/>
        </w:rPr>
      </w:pPr>
    </w:p>
    <w:p>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color w:val="auto"/>
          <w:sz w:val="44"/>
          <w:szCs w:val="44"/>
          <w:highlight w:val="none"/>
        </w:rPr>
      </w:pPr>
      <w:r>
        <w:rPr>
          <w:rFonts w:hint="eastAsia" w:ascii="方正小标宋简体" w:hAnsi="方正小标宋简体" w:eastAsia="方正小标宋简体" w:cs="方正小标宋简体"/>
          <w:b/>
          <w:bCs/>
          <w:color w:val="auto"/>
          <w:sz w:val="44"/>
          <w:szCs w:val="44"/>
          <w:highlight w:val="none"/>
        </w:rPr>
        <w:t>项目支出绩效评价报告</w:t>
      </w:r>
    </w:p>
    <w:p>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pPr>
        <w:pStyle w:val="2"/>
        <w:rPr>
          <w:rFonts w:hint="eastAsia" w:ascii="Times New Roman" w:hAnsi="宋体" w:cs="宋体"/>
          <w:color w:val="auto"/>
          <w:kern w:val="0"/>
          <w:sz w:val="36"/>
          <w:szCs w:val="36"/>
          <w:highlight w:val="none"/>
          <w:lang w:eastAsia="zh-CN"/>
        </w:rPr>
      </w:pPr>
    </w:p>
    <w:p>
      <w:pPr>
        <w:rPr>
          <w:rFonts w:hint="eastAsia" w:ascii="Times New Roman" w:hAnsi="宋体" w:cs="宋体"/>
          <w:color w:val="auto"/>
          <w:kern w:val="0"/>
          <w:sz w:val="36"/>
          <w:szCs w:val="36"/>
          <w:highlight w:val="none"/>
          <w:lang w:eastAsia="zh-CN"/>
        </w:rPr>
      </w:pPr>
    </w:p>
    <w:p>
      <w:pPr>
        <w:pStyle w:val="2"/>
        <w:rPr>
          <w:rFonts w:hint="eastAsia" w:ascii="Times New Roman" w:hAnsi="宋体" w:cs="宋体"/>
          <w:color w:val="auto"/>
          <w:kern w:val="0"/>
          <w:sz w:val="36"/>
          <w:szCs w:val="36"/>
          <w:highlight w:val="none"/>
          <w:lang w:eastAsia="zh-CN"/>
        </w:rPr>
      </w:pPr>
    </w:p>
    <w:p>
      <w:pPr>
        <w:pStyle w:val="2"/>
        <w:rPr>
          <w:rFonts w:hint="eastAsia"/>
          <w:color w:val="auto"/>
          <w:highlight w:val="none"/>
          <w:lang w:eastAsia="zh-CN"/>
        </w:rPr>
      </w:pPr>
    </w:p>
    <w:p>
      <w:pPr>
        <w:keepNext w:val="0"/>
        <w:keepLines w:val="0"/>
        <w:pageBreakBefore w:val="0"/>
        <w:widowControl w:val="0"/>
        <w:kinsoku/>
        <w:wordWrap/>
        <w:overflowPunct/>
        <w:topLinePunct w:val="0"/>
        <w:autoSpaceDE/>
        <w:autoSpaceDN/>
        <w:bidi w:val="0"/>
        <w:adjustRightInd/>
        <w:snapToGrid/>
        <w:ind w:left="1600" w:right="750" w:rightChars="250" w:hanging="1600" w:hangingChars="500"/>
        <w:jc w:val="left"/>
        <w:textAlignment w:val="auto"/>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参加第十四届全国冬季运动会获奖运动员、教练员和有关单位奖励经费项目</w:t>
      </w:r>
    </w:p>
    <w:p>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新疆维吾尔自治区体育局冬季运动管理中心</w:t>
      </w:r>
    </w:p>
    <w:p>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：康永新</w:t>
      </w:r>
    </w:p>
    <w:p>
      <w:pPr>
        <w:rPr>
          <w:rFonts w:ascii="仿宋_GB2312"/>
          <w:color w:val="auto"/>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 xml:space="preserve">20 </w:t>
      </w:r>
      <w:r>
        <w:rPr>
          <w:rFonts w:hint="eastAsia" w:ascii="仿宋" w:hAnsi="仿宋" w:eastAsia="仿宋" w:cs="仿宋"/>
          <w:color w:val="auto"/>
          <w:kern w:val="0"/>
          <w:sz w:val="32"/>
          <w:szCs w:val="32"/>
          <w:highlight w:val="none"/>
        </w:rPr>
        <w:t>日</w:t>
      </w:r>
      <w:r>
        <w:rPr>
          <w:rFonts w:ascii="仿宋_GB2312"/>
          <w:color w:val="auto"/>
          <w:szCs w:val="30"/>
          <w:highlight w:val="none"/>
        </w:rPr>
        <w:br w:type="page"/>
      </w:r>
    </w:p>
    <w:p>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color w:val="auto"/>
          <w:highlight w:val="none"/>
        </w:rPr>
      </w:pPr>
      <w:r>
        <w:rPr>
          <w:rFonts w:hint="eastAsia" w:ascii="黑体" w:hAnsi="黑体" w:eastAsia="黑体"/>
          <w:color w:val="auto"/>
          <w:highlight w:val="none"/>
        </w:rPr>
        <w:t>一、基本情况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在冰雪之城内蒙古呼伦贝尔举行的第十四届全国冬季运动会，不仅仅是一场体育盛宴，更是中国冬季运动实力和魅力的集中展示。首先，这场盛会将汇聚全国最顶尖的冬季运动员，他们在赛场上的精彩表现将为国家争光，为民族争气。我们期待他们能发挥出最佳水平，展现卓越的竞技风采。</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其次，十四冬将传承和发扬公平竞赛的精神。公平竞争是体育比赛的灵魂，只有公平的比赛才能让运动精神得到真正的体现。我们希望所有参赛运动员都能遵守竞赛规则，尊重裁判判决，以诚信和公正的态度参与比赛。</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再者，这场盛会将呈现一场场精彩纷呈的赛事。从雪橇到冰球，从高山滑雪到短道速滑，十四冬将涵盖多个冬季运动项目。我们期待每一个项目都能给观众带来视觉和心灵的震撼，让人们感受到运动的激情和热血。</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最后，十四冬还将营造出热烈的冬奥氛围。冬奥会是冰雪运动的盛宴，也是民族团结的象征。我们期待这场盛会能促进全国各地的团结与合作，共同推动冰雪运动的发展。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第十四届全国冬季运动会2月27日在内蒙古圆满闭幕。新疆这次派出106名体育健儿，参加越野滑雪、单板滑雪、自由式滑雪、速度滑冰等多项目比赛，获得8枚金牌、15枚银牌、12枚铜牌的耀眼成绩。</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特别是，巴亚尼·加林与迪妮格尔·衣拉木江获得新疆越野滑雪队在冬运会上的首枚金牌；19岁小将赛木哈尔·赛力克在越野滑雪青年组男子个人短距离（传统技术）比赛中斩获金牌；田芮宁发挥稳定，在速度滑冰女子公开组500米项目中勇夺金牌。</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eastAsia="zh-CN"/>
        </w:rPr>
      </w:pPr>
      <w:r>
        <w:rPr>
          <w:rFonts w:hint="eastAsia" w:ascii="仿宋_GB2312" w:hAnsi="仿宋_GB2312" w:cs="仿宋_GB2312"/>
          <w:color w:val="auto"/>
          <w:sz w:val="32"/>
          <w:szCs w:val="32"/>
          <w:highlight w:val="none"/>
          <w:lang w:eastAsia="zh-CN"/>
        </w:rPr>
        <w:t>冰雪运动在新疆具有非常高的人气。特别是新疆籍选手，如阿合娜尔·阿达克等，在国内外冬季运动项目上取得优异成绩后，冰雪运动热度更胜一筹。</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已完成为</w:t>
      </w:r>
      <w:r>
        <w:rPr>
          <w:rFonts w:hint="eastAsia" w:ascii="仿宋_GB2312" w:hAnsi="仿宋_GB2312" w:eastAsia="仿宋_GB2312" w:cs="仿宋_GB2312"/>
          <w:color w:val="auto"/>
          <w:sz w:val="32"/>
          <w:szCs w:val="32"/>
          <w:highlight w:val="none"/>
          <w:lang w:val="en-US" w:eastAsia="zh-CN"/>
        </w:rPr>
        <w:t>第十四届全国冬季运动会获奖运动员、教练员和有关单位人员发放成绩奖金；减轻运动员在训练与比赛过程中的经济压力，回报获奖人员在赛场上努力付出，激励优秀运动员勇于拼搏、为国争光、再创佳绩。</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目标1：为第十四届全国冬季运动会获奖运动员、教练员和有关单位人员发放成绩奖金；目标2：通过项目实施，减轻运动员在训练与比赛过程中的经济压力，回报获奖人员在赛场上努力付出，激励优秀运动员勇于拼搏、为国争光、再创佳绩。</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sz w:val="32"/>
          <w:szCs w:val="32"/>
          <w:highlight w:val="none"/>
          <w:lang w:val="en-US" w:eastAsia="zh-CN"/>
        </w:rPr>
        <w:t>参加第十四届全国冬季运动会获奖运动员、教练员和有关单位奖励经费项目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个过程进行评价，涉及二级指标10个，三级指标17个，具体评价指标体系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经认真对照《项目支出绩效评价指标体系》，我单位参加第十四届全国冬季运动会获奖运动员、教练员和有关单位奖励经费项目指标都较好地达到了相关要求，项目评价得分：</w:t>
      </w:r>
      <w:r>
        <w:rPr>
          <w:rFonts w:hint="eastAsia" w:ascii="仿宋_GB2312" w:hAnsi="仿宋_GB2312" w:cs="仿宋_GB2312"/>
          <w:color w:val="auto"/>
          <w:sz w:val="32"/>
          <w:szCs w:val="32"/>
          <w:highlight w:val="none"/>
          <w:lang w:val="en-US" w:eastAsia="zh-CN"/>
        </w:rPr>
        <w:t>99.5</w:t>
      </w:r>
      <w:r>
        <w:rPr>
          <w:rFonts w:hint="eastAsia" w:ascii="仿宋_GB2312" w:hAnsi="仿宋_GB2312" w:eastAsia="仿宋_GB2312" w:cs="仿宋_GB2312"/>
          <w:color w:val="auto"/>
          <w:sz w:val="32"/>
          <w:szCs w:val="32"/>
          <w:highlight w:val="none"/>
          <w:lang w:val="en-US" w:eastAsia="zh-CN"/>
        </w:rPr>
        <w:t>分</w:t>
      </w:r>
      <w:r>
        <w:rPr>
          <w:rFonts w:hint="eastAsia" w:ascii="仿宋_GB2312" w:hAnsi="仿宋_GB2312" w:eastAsia="仿宋_GB2312" w:cs="仿宋_GB2312"/>
          <w:color w:val="auto"/>
          <w:sz w:val="32"/>
          <w:szCs w:val="32"/>
          <w:highlight w:val="none"/>
          <w:lang w:val="en-US" w:eastAsia="zh-CN"/>
        </w:rPr>
        <w:t>，评价等级为：</w:t>
      </w:r>
      <w:r>
        <w:rPr>
          <w:rFonts w:hint="eastAsia" w:ascii="仿宋_GB2312" w:hAnsi="仿宋_GB2312" w:eastAsia="仿宋_GB2312" w:cs="仿宋_GB2312"/>
          <w:color w:val="auto"/>
          <w:sz w:val="32"/>
          <w:szCs w:val="32"/>
          <w:highlight w:val="none"/>
          <w:lang w:val="en-US" w:eastAsia="zh-CN"/>
        </w:rPr>
        <w:t>优</w:t>
      </w:r>
      <w:r>
        <w:rPr>
          <w:rFonts w:hint="eastAsia" w:ascii="仿宋_GB2312" w:hAnsi="仿宋_GB2312" w:eastAsia="仿宋_GB2312" w:cs="仿宋_GB2312"/>
          <w:color w:val="auto"/>
          <w:sz w:val="32"/>
          <w:szCs w:val="32"/>
          <w:highlight w:val="none"/>
          <w:lang w:val="en-US" w:eastAsia="zh-CN"/>
        </w:rPr>
        <w:t>。具体得分情况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pPr>
        <w:spacing w:line="560" w:lineRule="exact"/>
        <w:ind w:firstLine="643" w:firstLineChars="200"/>
        <w:outlineLvl w:val="0"/>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（一）项目决策分析</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①项目立项依据是《中华人民共和国第十四届冬季运动会竞赛规程总则》，符合国家法律法规和相关政策；</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en-US" w:eastAsia="zh-CN"/>
        </w:rPr>
        <w:t>，三级指标</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en-US" w:eastAsia="zh-CN"/>
        </w:rPr>
        <w:t>。项目绩效目标与实际工作内容具有相关性；项目预期产出效益和效果符合正常的业绩水平；与预算确定的项目投资额或资金量相匹配。</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w:t>
      </w:r>
      <w:bookmarkStart w:id="0" w:name="_GoBack"/>
      <w:bookmarkEnd w:id="0"/>
      <w:r>
        <w:rPr>
          <w:rFonts w:hint="eastAsia" w:ascii="仿宋_GB2312" w:hAnsi="仿宋_GB2312" w:eastAsia="仿宋_GB2312" w:cs="仿宋_GB2312"/>
          <w:color w:val="auto"/>
          <w:sz w:val="32"/>
          <w:szCs w:val="32"/>
          <w:highlight w:val="none"/>
          <w:lang w:val="en-US" w:eastAsia="zh-CN"/>
        </w:rPr>
        <w:t>具体的绩效指标如下：</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奖金发放人数&gt;=110人；奖金发放次数=1次</w:t>
      </w:r>
      <w:r>
        <w:rPr>
          <w:rFonts w:hint="eastAsia" w:ascii="仿宋_GB2312" w:hAnsi="仿宋_GB2312" w:eastAsia="仿宋_GB2312" w:cs="仿宋_GB2312"/>
          <w:color w:val="auto"/>
          <w:sz w:val="32"/>
          <w:szCs w:val="32"/>
          <w:highlight w:val="none"/>
          <w:lang w:val="en-US" w:eastAsia="zh-CN"/>
        </w:rPr>
        <w:t>。</w:t>
      </w:r>
    </w:p>
    <w:p>
      <w:pPr>
        <w:ind w:firstLine="640" w:firstLineChars="200"/>
        <w:rPr>
          <w:rFonts w:hint="eastAsia" w:eastAsia="仿宋_GB2312"/>
          <w:color w:val="auto"/>
          <w:lang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w:t>
      </w:r>
      <w:r>
        <w:rPr>
          <w:rFonts w:hint="eastAsia"/>
          <w:color w:val="auto"/>
        </w:rPr>
        <w:t>奖金发放准确率=100%</w:t>
      </w:r>
      <w:r>
        <w:rPr>
          <w:rFonts w:hint="eastAsia"/>
          <w:color w:val="auto"/>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w:t>
      </w:r>
      <w:r>
        <w:rPr>
          <w:rFonts w:hint="eastAsia"/>
          <w:color w:val="auto"/>
        </w:rPr>
        <w:t>奖金发放及时率</w:t>
      </w:r>
      <w:r>
        <w:rPr>
          <w:rFonts w:hint="eastAsia"/>
          <w:color w:val="auto"/>
        </w:rPr>
        <w:tab/>
      </w:r>
      <w:r>
        <w:rPr>
          <w:rFonts w:hint="eastAsia"/>
          <w:color w:val="auto"/>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无此项指标</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社会效益指标</w:t>
      </w:r>
      <w:r>
        <w:rPr>
          <w:rFonts w:hint="eastAsia" w:ascii="仿宋_GB2312" w:hAnsi="仿宋_GB2312" w:eastAsia="仿宋_GB2312" w:cs="仿宋_GB2312"/>
          <w:color w:val="auto"/>
          <w:sz w:val="32"/>
          <w:szCs w:val="32"/>
          <w:highlight w:val="none"/>
          <w:lang w:val="en-US" w:eastAsia="zh-CN"/>
        </w:rPr>
        <w:t>：</w:t>
      </w:r>
      <w:r>
        <w:rPr>
          <w:rFonts w:hint="eastAsia"/>
          <w:color w:val="auto"/>
        </w:rPr>
        <w:t>对运动员的正向激励作用</w:t>
      </w:r>
      <w:r>
        <w:rPr>
          <w:rFonts w:hint="eastAsia"/>
          <w:color w:val="auto"/>
          <w:lang w:eastAsia="zh-CN"/>
        </w:rPr>
        <w:t>、</w:t>
      </w:r>
      <w:r>
        <w:rPr>
          <w:rFonts w:hint="eastAsia"/>
          <w:color w:val="auto"/>
        </w:rPr>
        <w:t>效益显著</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获奖人员满意度&gt;=90%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w:t>
      </w:r>
      <w:r>
        <w:rPr>
          <w:rFonts w:hint="eastAsia" w:ascii="仿宋_GB2312" w:hAnsi="仿宋_GB2312" w:eastAsia="仿宋_GB2312" w:cs="仿宋_GB2312"/>
          <w:color w:val="auto"/>
          <w:sz w:val="32"/>
          <w:szCs w:val="32"/>
          <w:highlight w:val="none"/>
          <w:lang w:val="zh-TW" w:eastAsia="zh-CN"/>
        </w:rPr>
        <w:t>实际工作完成所需资金量</w:t>
      </w:r>
      <w:r>
        <w:rPr>
          <w:rFonts w:hint="eastAsia" w:ascii="仿宋_GB2312" w:hAnsi="仿宋_GB2312" w:eastAsia="仿宋_GB2312" w:cs="仿宋_GB2312"/>
          <w:color w:val="auto"/>
          <w:sz w:val="32"/>
          <w:szCs w:val="32"/>
          <w:highlight w:val="none"/>
          <w:lang w:val="en-US" w:eastAsia="zh-CN"/>
        </w:rPr>
        <w:t>相适应。</w:t>
      </w:r>
    </w:p>
    <w:p>
      <w:pPr>
        <w:spacing w:line="560" w:lineRule="exact"/>
        <w:ind w:firstLine="643" w:firstLineChars="200"/>
        <w:outlineLvl w:val="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（二）过程情况分析</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项目过程指标由2个二级指标和5个三级指标构成，该项满分为20分，得分20分，得分率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1、资金管理分析（得分12分）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万元，资金到位率100%。</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（2）预算执行率（得分4分）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3237.60</w:t>
      </w:r>
      <w:r>
        <w:rPr>
          <w:rFonts w:hint="eastAsia" w:ascii="仿宋_GB2312" w:hAnsi="仿宋_GB2312" w:eastAsia="仿宋_GB2312" w:cs="仿宋_GB2312"/>
          <w:color w:val="auto"/>
          <w:sz w:val="32"/>
          <w:szCs w:val="32"/>
          <w:highlight w:val="none"/>
          <w:lang w:val="en-US" w:eastAsia="zh-CN"/>
        </w:rPr>
        <w:t>万元，预算执行率100%。本项目任务已全部完成。</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pPr>
        <w:spacing w:line="560" w:lineRule="exact"/>
        <w:ind w:firstLine="643" w:firstLineChars="200"/>
        <w:outlineLvl w:val="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（三）产出情况分析</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29.5</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98.33</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color w:val="auto"/>
        </w:rPr>
        <w:t>奖金发放人数</w:t>
      </w:r>
      <w:r>
        <w:rPr>
          <w:rFonts w:hint="eastAsia" w:ascii="仿宋_GB2312" w:hAnsi="仿宋_GB2312" w:eastAsia="仿宋_GB2312" w:cs="仿宋_GB2312"/>
          <w:color w:val="auto"/>
          <w:sz w:val="32"/>
          <w:szCs w:val="32"/>
          <w:highlight w:val="none"/>
          <w:lang w:val="en-US" w:eastAsia="zh-CN"/>
        </w:rPr>
        <w:t>，指标值：</w:t>
      </w:r>
      <w:r>
        <w:rPr>
          <w:rFonts w:hint="eastAsia"/>
          <w:color w:val="auto"/>
        </w:rPr>
        <w:t>&gt;=110</w:t>
      </w:r>
      <w:r>
        <w:rPr>
          <w:rFonts w:hint="eastAsia"/>
          <w:color w:val="auto"/>
          <w:lang w:val="en-US" w:eastAsia="zh-CN"/>
        </w:rPr>
        <w:t>人</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136人</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color w:val="auto"/>
        </w:rPr>
        <w:t>奖金发放次数</w:t>
      </w:r>
      <w:r>
        <w:rPr>
          <w:rFonts w:hint="eastAsia" w:ascii="仿宋_GB2312" w:hAnsi="仿宋_GB2312" w:eastAsia="仿宋_GB2312" w:cs="仿宋_GB2312"/>
          <w:color w:val="auto"/>
          <w:sz w:val="32"/>
          <w:szCs w:val="32"/>
          <w:highlight w:val="none"/>
          <w:lang w:val="en-US" w:eastAsia="zh-CN"/>
        </w:rPr>
        <w:t>，指标值：</w:t>
      </w:r>
      <w:r>
        <w:rPr>
          <w:rFonts w:hint="eastAsia"/>
          <w:color w:val="auto"/>
        </w:rPr>
        <w:t>=1次</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1次</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w:t>
      </w:r>
      <w:r>
        <w:rPr>
          <w:rFonts w:hint="eastAsia"/>
          <w:color w:val="auto"/>
        </w:rPr>
        <w:t>奖金发放准确率</w:t>
      </w:r>
      <w:r>
        <w:rPr>
          <w:rFonts w:hint="eastAsia" w:ascii="仿宋_GB2312" w:hAnsi="仿宋_GB2312" w:eastAsia="仿宋_GB2312" w:cs="仿宋_GB2312"/>
          <w:color w:val="auto"/>
          <w:sz w:val="32"/>
          <w:szCs w:val="32"/>
          <w:highlight w:val="none"/>
          <w:lang w:val="en-US" w:eastAsia="zh-CN"/>
        </w:rPr>
        <w:t>，指标值：</w:t>
      </w:r>
      <w:r>
        <w:rPr>
          <w:rFonts w:hint="eastAsia"/>
          <w:color w:val="auto"/>
        </w:rPr>
        <w:t>=100%</w:t>
      </w:r>
      <w:r>
        <w:rPr>
          <w:rFonts w:hint="eastAsia" w:ascii="仿宋_GB2312" w:hAnsi="仿宋_GB2312" w:eastAsia="仿宋_GB2312" w:cs="仿宋_GB2312"/>
          <w:color w:val="auto"/>
          <w:sz w:val="32"/>
          <w:szCs w:val="32"/>
          <w:highlight w:val="none"/>
          <w:lang w:val="en-US" w:eastAsia="zh-CN"/>
        </w:rPr>
        <w:t>，实际完成值</w:t>
      </w:r>
      <w:r>
        <w:rPr>
          <w:rFonts w:hint="eastAsia"/>
          <w:color w:val="auto"/>
        </w:rPr>
        <w:t>100%</w:t>
      </w:r>
      <w:r>
        <w:rPr>
          <w:rFonts w:hint="eastAsia" w:ascii="仿宋_GB2312" w:hAnsi="仿宋_GB2312" w:eastAsia="仿宋_GB2312" w:cs="仿宋_GB2312"/>
          <w:color w:val="auto"/>
          <w:sz w:val="32"/>
          <w:szCs w:val="32"/>
          <w:highlight w:val="none"/>
          <w:lang w:val="en-US" w:eastAsia="zh-CN"/>
        </w:rPr>
        <w:t>，指标完成率</w:t>
      </w:r>
      <w:r>
        <w:rPr>
          <w:rFonts w:hint="eastAsia"/>
          <w:color w:val="auto"/>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产出时效分析（得分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时效指标：指标1：</w:t>
      </w:r>
      <w:r>
        <w:rPr>
          <w:rFonts w:hint="eastAsia"/>
          <w:color w:val="auto"/>
        </w:rPr>
        <w:t>奖金发放及时率</w:t>
      </w:r>
      <w:r>
        <w:rPr>
          <w:rFonts w:hint="eastAsia" w:ascii="仿宋_GB2312" w:hAnsi="仿宋_GB2312" w:eastAsia="仿宋_GB2312" w:cs="仿宋_GB2312"/>
          <w:color w:val="auto"/>
          <w:sz w:val="32"/>
          <w:szCs w:val="32"/>
          <w:highlight w:val="none"/>
          <w:lang w:val="en-US" w:eastAsia="zh-CN"/>
        </w:rPr>
        <w:t>，指标值：</w:t>
      </w:r>
      <w:r>
        <w:rPr>
          <w:rFonts w:hint="eastAsia"/>
          <w:color w:val="auto"/>
        </w:rPr>
        <w:t>=100%</w:t>
      </w:r>
      <w:r>
        <w:rPr>
          <w:rFonts w:hint="eastAsia" w:ascii="仿宋_GB2312" w:hAnsi="仿宋_GB2312" w:eastAsia="仿宋_GB2312" w:cs="仿宋_GB2312"/>
          <w:color w:val="auto"/>
          <w:sz w:val="32"/>
          <w:szCs w:val="32"/>
          <w:highlight w:val="none"/>
          <w:lang w:val="en-US" w:eastAsia="zh-CN"/>
        </w:rPr>
        <w:t>，实际完成值</w:t>
      </w:r>
      <w:r>
        <w:rPr>
          <w:rFonts w:hint="eastAsia"/>
          <w:color w:val="auto"/>
        </w:rPr>
        <w:t>100%</w:t>
      </w:r>
      <w:r>
        <w:rPr>
          <w:rFonts w:hint="eastAsia" w:ascii="仿宋_GB2312" w:hAnsi="仿宋_GB2312" w:eastAsia="仿宋_GB2312" w:cs="仿宋_GB2312"/>
          <w:color w:val="auto"/>
          <w:sz w:val="32"/>
          <w:szCs w:val="32"/>
          <w:highlight w:val="none"/>
          <w:lang w:val="en-US" w:eastAsia="zh-CN"/>
        </w:rPr>
        <w:t>，指标完成率</w:t>
      </w:r>
      <w:r>
        <w:rPr>
          <w:rFonts w:hint="eastAsia"/>
          <w:color w:val="auto"/>
        </w:rPr>
        <w:t>100%</w:t>
      </w:r>
      <w:r>
        <w:rPr>
          <w:rFonts w:hint="eastAsia" w:ascii="仿宋_GB2312" w:hAnsi="仿宋_GB2312" w:eastAsia="仿宋_GB2312" w:cs="仿宋_GB2312"/>
          <w:color w:val="auto"/>
          <w:sz w:val="32"/>
          <w:szCs w:val="32"/>
          <w:highlight w:val="none"/>
          <w:lang w:val="en-US" w:eastAsia="zh-CN"/>
        </w:rPr>
        <w:t>。</w:t>
      </w:r>
    </w:p>
    <w:p>
      <w:pPr>
        <w:spacing w:line="560" w:lineRule="exact"/>
        <w:ind w:firstLine="643" w:firstLineChars="200"/>
        <w:outlineLvl w:val="0"/>
        <w:rPr>
          <w:rFonts w:hint="eastAsia" w:ascii="仿宋" w:hAnsi="仿宋" w:eastAsia="仿宋" w:cs="仿宋"/>
          <w:b/>
          <w:bCs/>
          <w:color w:val="auto"/>
          <w:sz w:val="32"/>
          <w:szCs w:val="32"/>
          <w:highlight w:val="none"/>
          <w:lang w:val="zh-TW" w:eastAsia="zh-TW"/>
        </w:rPr>
      </w:pPr>
      <w:r>
        <w:rPr>
          <w:rFonts w:hint="eastAsia" w:ascii="仿宋" w:hAnsi="仿宋" w:eastAsia="仿宋" w:cs="仿宋"/>
          <w:b/>
          <w:bCs/>
          <w:color w:val="auto"/>
          <w:sz w:val="32"/>
          <w:szCs w:val="32"/>
          <w:highlight w:val="none"/>
          <w:lang w:val="zh-TW" w:eastAsia="zh-TW"/>
        </w:rPr>
        <w:t>（</w:t>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lang w:val="zh-TW" w:eastAsia="zh-TW"/>
        </w:rPr>
        <w:t>）</w:t>
      </w:r>
      <w:r>
        <w:rPr>
          <w:rFonts w:hint="eastAsia" w:ascii="仿宋" w:hAnsi="仿宋" w:eastAsia="仿宋" w:cs="仿宋"/>
          <w:b/>
          <w:bCs/>
          <w:color w:val="auto"/>
          <w:sz w:val="32"/>
          <w:szCs w:val="32"/>
          <w:highlight w:val="none"/>
          <w:lang w:val="en-US" w:eastAsia="zh-CN"/>
        </w:rPr>
        <w:t>成本</w:t>
      </w:r>
      <w:r>
        <w:rPr>
          <w:rFonts w:hint="eastAsia" w:ascii="仿宋" w:hAnsi="仿宋" w:eastAsia="仿宋" w:cs="仿宋"/>
          <w:b/>
          <w:bCs/>
          <w:color w:val="auto"/>
          <w:sz w:val="32"/>
          <w:szCs w:val="32"/>
          <w:highlight w:val="none"/>
          <w:lang w:val="zh-TW" w:eastAsia="zh-TW"/>
        </w:rPr>
        <w:t>情况分析</w:t>
      </w:r>
    </w:p>
    <w:p>
      <w:pPr>
        <w:pStyle w:val="2"/>
        <w:ind w:firstLine="640" w:firstLineChars="200"/>
        <w:rPr>
          <w:rFonts w:hint="default"/>
          <w:b w:val="0"/>
          <w:bCs w:val="0"/>
          <w:color w:val="auto"/>
          <w:highlight w:val="none"/>
          <w:lang w:val="en-US"/>
        </w:rPr>
      </w:pPr>
      <w:r>
        <w:rPr>
          <w:rFonts w:hint="eastAsia" w:ascii="仿宋" w:hAnsi="仿宋" w:eastAsia="仿宋" w:cs="仿宋"/>
          <w:b w:val="0"/>
          <w:bCs w:val="0"/>
          <w:color w:val="auto"/>
          <w:sz w:val="32"/>
          <w:szCs w:val="32"/>
          <w:highlight w:val="none"/>
          <w:lang w:val="en-US" w:eastAsia="zh-CN"/>
        </w:rPr>
        <w:t>本</w:t>
      </w:r>
      <w:r>
        <w:rPr>
          <w:rFonts w:hint="eastAsia" w:ascii="仿宋" w:hAnsi="仿宋" w:eastAsia="仿宋" w:cs="仿宋"/>
          <w:b w:val="0"/>
          <w:bCs w:val="0"/>
          <w:color w:val="auto"/>
          <w:sz w:val="32"/>
          <w:szCs w:val="32"/>
          <w:highlight w:val="none"/>
          <w:lang w:val="zh-TW" w:eastAsia="zh-TW"/>
        </w:rPr>
        <w:t>项目</w:t>
      </w:r>
      <w:r>
        <w:rPr>
          <w:rFonts w:hint="eastAsia" w:ascii="仿宋" w:hAnsi="仿宋" w:eastAsia="仿宋" w:cs="仿宋"/>
          <w:b w:val="0"/>
          <w:bCs w:val="0"/>
          <w:color w:val="auto"/>
          <w:sz w:val="32"/>
          <w:szCs w:val="32"/>
          <w:highlight w:val="none"/>
          <w:lang w:val="en-US" w:eastAsia="zh-CN"/>
        </w:rPr>
        <w:t>未设置成本指标。</w:t>
      </w:r>
    </w:p>
    <w:p>
      <w:pPr>
        <w:spacing w:line="560" w:lineRule="exact"/>
        <w:ind w:firstLine="643" w:firstLineChars="200"/>
        <w:outlineLvl w:val="0"/>
        <w:rPr>
          <w:rFonts w:hint="eastAsia" w:ascii="仿宋" w:hAnsi="仿宋" w:eastAsia="仿宋" w:cs="仿宋"/>
          <w:b/>
          <w:bCs/>
          <w:color w:val="auto"/>
          <w:sz w:val="32"/>
          <w:szCs w:val="32"/>
          <w:highlight w:val="none"/>
          <w:lang w:val="zh-TW" w:eastAsia="zh-CN"/>
        </w:rPr>
      </w:pPr>
      <w:r>
        <w:rPr>
          <w:rFonts w:hint="eastAsia" w:ascii="仿宋" w:hAnsi="仿宋" w:eastAsia="仿宋" w:cs="仿宋"/>
          <w:b/>
          <w:bCs/>
          <w:color w:val="auto"/>
          <w:sz w:val="32"/>
          <w:szCs w:val="32"/>
          <w:highlight w:val="none"/>
          <w:lang w:val="zh-TW" w:eastAsia="zh-CN"/>
        </w:rPr>
        <w:t>（</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lang w:val="zh-TW" w:eastAsia="zh-CN"/>
        </w:rPr>
        <w:t>项目效益情况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包括实施效益和满意度</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ab/>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实施效益（得分15分）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经济效益指标：无此项指标。</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社会效益指标：指标1：</w:t>
      </w:r>
      <w:r>
        <w:rPr>
          <w:rFonts w:hint="eastAsia"/>
          <w:color w:val="auto"/>
        </w:rPr>
        <w:t>对运动员的正向激励作用</w:t>
      </w:r>
      <w:r>
        <w:rPr>
          <w:rFonts w:hint="eastAsia" w:ascii="仿宋_GB2312" w:hAnsi="仿宋_GB2312" w:eastAsia="仿宋_GB2312" w:cs="仿宋_GB2312"/>
          <w:color w:val="auto"/>
          <w:sz w:val="32"/>
          <w:szCs w:val="32"/>
          <w:highlight w:val="none"/>
          <w:lang w:val="en-US" w:eastAsia="zh-CN"/>
        </w:rPr>
        <w:t>，指标值：</w:t>
      </w:r>
      <w:r>
        <w:rPr>
          <w:rFonts w:hint="eastAsia"/>
          <w:color w:val="auto"/>
        </w:rPr>
        <w:t>效益显著</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基本达成目标</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生态效益指标：无此项指标。</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可持续影响指标：无此项指标</w:t>
      </w:r>
      <w:r>
        <w:rPr>
          <w:rFonts w:hint="eastAsia" w:ascii="仿宋_GB2312" w:hAnsi="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2、满意度（得分</w:t>
      </w:r>
      <w:r>
        <w:rPr>
          <w:rFonts w:hint="eastAsia" w:ascii="仿宋_GB2312" w:hAnsi="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满意度指标：指标1：</w:t>
      </w:r>
      <w:r>
        <w:rPr>
          <w:rFonts w:hint="eastAsia"/>
          <w:color w:val="auto"/>
        </w:rPr>
        <w:t>获奖人员满意度</w:t>
      </w:r>
      <w:r>
        <w:rPr>
          <w:rFonts w:hint="eastAsia" w:ascii="仿宋_GB2312" w:hAnsi="仿宋_GB2312" w:eastAsia="仿宋_GB2312" w:cs="仿宋_GB2312"/>
          <w:color w:val="auto"/>
          <w:sz w:val="32"/>
          <w:szCs w:val="32"/>
          <w:highlight w:val="none"/>
          <w:lang w:val="en-US" w:eastAsia="zh-CN"/>
        </w:rPr>
        <w:t>，指标值：</w:t>
      </w:r>
      <w:r>
        <w:rPr>
          <w:rFonts w:hint="eastAsia"/>
          <w:color w:val="auto"/>
        </w:rPr>
        <w:t>&gt;=90%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color w:val="auto"/>
          <w:highlight w:val="none"/>
        </w:rPr>
      </w:pPr>
      <w:r>
        <w:rPr>
          <w:rFonts w:hint="eastAsia" w:ascii="黑体" w:hAnsi="黑体" w:eastAsia="黑体"/>
          <w:color w:val="auto"/>
          <w:highlight w:val="none"/>
          <w:lang w:val="en-US" w:eastAsia="zh-CN"/>
        </w:rPr>
        <w:t>五、</w:t>
      </w:r>
      <w:r>
        <w:rPr>
          <w:rFonts w:hint="eastAsia" w:ascii="黑体" w:hAnsi="黑体" w:eastAsia="黑体"/>
          <w:color w:val="auto"/>
          <w:highlight w:val="none"/>
        </w:rPr>
        <w:t>主要经验及做法、存在的问题及原因分析</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一是建立内部审核机制，形成健全的内部约束机制。狠抓项目管理工作，坚持项目跟随计划走、资金跟随项目走的原则，不得随意调整项目。</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二是严格预算管理制度，建立科学的预算管理体系，确保项目落实。在项目实施过程中，坚决做到专款专用，不挤占、不挪用，对经费使用建立监督制约机制，确保经费使用合理、合规。</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三是坚持全面预算原则，树立全员参与预算意识，加强预算管理，力争项目资金预算贴近实际，提高预算的准确性。</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四是预算管理与绩效评估有效地结合，项目资金做到事前有预算、事中有控制、事后有考评</w:t>
      </w:r>
      <w:r>
        <w:rPr>
          <w:rFonts w:hint="eastAsia" w:ascii="仿宋_GB2312" w:hAnsi="仿宋_GB2312" w:eastAsia="仿宋_GB2312" w:cs="仿宋_GB2312"/>
          <w:color w:val="auto"/>
          <w:sz w:val="32"/>
          <w:szCs w:val="32"/>
          <w:highlight w:val="none"/>
          <w:lang w:val="en-US" w:eastAsia="zh-CN"/>
        </w:rPr>
        <w:t>。</w:t>
      </w:r>
    </w:p>
    <w:p>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主要体现为项目执行进度还需进一步夯实，资金支付审批需要进一步提高；监督作用发挥不够充分。面对这些问题我们将认真分析，切实加以解决，进一步完善财务制度，规范财经纪律，严格控制非生产性开支，进一步提高项目支出水平</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1、对项目实施过程中不具实际指导意义的项目指标予以剔除，更换更具操作性实用性指标；</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2、进一步落实预算执行计划，确实做到进度与计划同步。</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加强项目资金的财务管理工作，项目严格按照相关规定要求，对批准的预算内客做好账务设置和财务管理。在资金使用过程中，严把监督审核关，建立健全内部审批制度。同时，定期不定期对资金使用、管理情况进行自查和检查，确保会计资料信息真实、及时、完整。</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4、资金的拨付有完整的审批程序和手续，确保各项制度落实见效，资金使用安全规范，在资金使用过程中，厉行节约、避免浪费，使项目资金能最大限度地发挥作用。</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5、根据项目实施后所达到的社会效益及群众满意度进行适度调整</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pPr>
        <w:pageBreakBefore w:val="0"/>
        <w:kinsoku/>
        <w:wordWrap/>
        <w:overflowPunct/>
        <w:topLinePunct w:val="0"/>
        <w:autoSpaceDE/>
        <w:autoSpaceDN/>
        <w:bidi w:val="0"/>
        <w:adjustRightInd/>
        <w:snapToGrid/>
        <w:spacing w:line="600" w:lineRule="exact"/>
        <w:ind w:leftChars="0"/>
        <w:textAlignment w:val="auto"/>
        <w:rPr>
          <w:color w:val="auto"/>
          <w:highlight w:val="none"/>
        </w:rPr>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B44B5E"/>
    <w:multiLevelType w:val="singleLevel"/>
    <w:tmpl w:val="27B44B5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3683A65"/>
    <w:rsid w:val="04811B85"/>
    <w:rsid w:val="057E6C6F"/>
    <w:rsid w:val="166626FB"/>
    <w:rsid w:val="16E66E3E"/>
    <w:rsid w:val="1B2572C5"/>
    <w:rsid w:val="1C431EA0"/>
    <w:rsid w:val="1C9F7D88"/>
    <w:rsid w:val="1EB057DA"/>
    <w:rsid w:val="289F0C32"/>
    <w:rsid w:val="2C9E4F19"/>
    <w:rsid w:val="2CFA4516"/>
    <w:rsid w:val="31EE5C53"/>
    <w:rsid w:val="394012FE"/>
    <w:rsid w:val="3A5E212D"/>
    <w:rsid w:val="3BD7607D"/>
    <w:rsid w:val="3C1F3318"/>
    <w:rsid w:val="3E6E7AA7"/>
    <w:rsid w:val="435F1167"/>
    <w:rsid w:val="49FA077F"/>
    <w:rsid w:val="4C2C1B1A"/>
    <w:rsid w:val="50E926B1"/>
    <w:rsid w:val="51373C80"/>
    <w:rsid w:val="551F668B"/>
    <w:rsid w:val="56DF6C36"/>
    <w:rsid w:val="58E75F2E"/>
    <w:rsid w:val="5C3D2F98"/>
    <w:rsid w:val="5F5407BB"/>
    <w:rsid w:val="5FC635C3"/>
    <w:rsid w:val="607353F9"/>
    <w:rsid w:val="628F4B42"/>
    <w:rsid w:val="67687A02"/>
    <w:rsid w:val="6D7F5857"/>
    <w:rsid w:val="6F736745"/>
    <w:rsid w:val="6F983C13"/>
    <w:rsid w:val="718F50E7"/>
    <w:rsid w:val="76D43D28"/>
    <w:rsid w:val="7B556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Indent 2"/>
    <w:basedOn w:val="1"/>
    <w:autoRedefine/>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5673</Words>
  <Characters>5989</Characters>
  <Lines>0</Lines>
  <Paragraphs>0</Paragraphs>
  <TotalTime>1</TotalTime>
  <ScaleCrop>false</ScaleCrop>
  <LinksUpToDate>false</LinksUpToDate>
  <CharactersWithSpaces>5997</CharactersWithSpaces>
  <Application>WPS Office_12.8.2.16984_F1E327BC-269C-435d-A152-05C5408002CA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TYJJC</cp:lastModifiedBy>
  <dcterms:modified xsi:type="dcterms:W3CDTF">2025-03-28T03:49:13Z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2052-12.8.2.16984</vt:lpwstr>
  </property>
  <property fmtid="{D5CDD505-2E9C-101B-9397-08002B2CF9AE}" pid="3" name="ICV">
    <vt:lpwstr>487F00DF24874E3187D3B75FFE0BF4EF_13</vt:lpwstr>
  </property>
</Properties>
</file>