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624A3D14">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2"/>
        <w:rPr>
          <w:rFonts w:hint="eastAsia" w:ascii="Times New Roman" w:hAnsi="宋体" w:cs="宋体"/>
          <w:color w:val="auto"/>
          <w:kern w:val="0"/>
          <w:sz w:val="36"/>
          <w:szCs w:val="36"/>
          <w:highlight w:val="none"/>
          <w:lang w:eastAsia="zh-CN"/>
        </w:rPr>
      </w:pPr>
    </w:p>
    <w:p w14:paraId="6105E3E5">
      <w:pPr>
        <w:rPr>
          <w:rFonts w:hint="eastAsia" w:ascii="Times New Roman" w:hAnsi="宋体" w:cs="宋体"/>
          <w:color w:val="auto"/>
          <w:kern w:val="0"/>
          <w:sz w:val="36"/>
          <w:szCs w:val="36"/>
          <w:highlight w:val="none"/>
          <w:lang w:eastAsia="zh-CN"/>
        </w:rPr>
      </w:pPr>
    </w:p>
    <w:p w14:paraId="1F7AB263">
      <w:pPr>
        <w:pStyle w:val="2"/>
        <w:rPr>
          <w:rFonts w:hint="eastAsia" w:ascii="Times New Roman" w:hAnsi="宋体" w:cs="宋体"/>
          <w:color w:val="auto"/>
          <w:kern w:val="0"/>
          <w:sz w:val="36"/>
          <w:szCs w:val="36"/>
          <w:highlight w:val="none"/>
          <w:lang w:eastAsia="zh-CN"/>
        </w:rPr>
      </w:pPr>
    </w:p>
    <w:p w14:paraId="5B37ADB9">
      <w:pPr>
        <w:pStyle w:val="2"/>
        <w:rPr>
          <w:rFonts w:hint="eastAsia"/>
          <w:highlight w:val="none"/>
          <w:lang w:eastAsia="zh-CN"/>
        </w:rPr>
      </w:pPr>
    </w:p>
    <w:p w14:paraId="25C62AAF">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val="en-US" w:eastAsia="zh-CN"/>
        </w:rPr>
        <w:t>伙食补助和试训运动员津贴项目</w:t>
      </w:r>
    </w:p>
    <w:p w14:paraId="18B1EC90">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新疆维吾尔自治区体育局体育训练一大队</w:t>
      </w:r>
    </w:p>
    <w:p w14:paraId="41628B3C">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：陈军</w:t>
      </w:r>
    </w:p>
    <w:p w14:paraId="3EC6C2A1">
      <w:pPr>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 xml:space="preserve">19 </w:t>
      </w:r>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86A9F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2BA37C58">
      <w:pPr>
        <w:pStyle w:val="5"/>
        <w:spacing w:after="0" w:line="560" w:lineRule="exact"/>
        <w:ind w:firstLine="640" w:firstLineChars="200"/>
        <w:rPr>
          <w:rFonts w:hint="eastAsia" w:ascii="仿宋" w:hAnsi="仿宋" w:eastAsia="仿宋" w:cs="仿宋"/>
          <w:color w:val="000000"/>
          <w:sz w:val="32"/>
          <w:szCs w:val="32"/>
        </w:rPr>
      </w:pPr>
      <w:r>
        <w:rPr>
          <w:rFonts w:hint="eastAsia" w:ascii="仿宋" w:hAnsi="仿宋" w:eastAsia="仿宋" w:cs="仿宋"/>
          <w:color w:val="000000"/>
          <w:sz w:val="32"/>
          <w:szCs w:val="32"/>
          <w:lang w:eastAsia="zh-CN"/>
        </w:rPr>
        <w:t>新疆维吾尔自治区体育局体育训练一大队</w:t>
      </w:r>
      <w:r>
        <w:rPr>
          <w:rFonts w:hint="eastAsia" w:ascii="仿宋" w:hAnsi="仿宋" w:eastAsia="仿宋" w:cs="仿宋"/>
          <w:color w:val="000000"/>
          <w:sz w:val="32"/>
          <w:szCs w:val="32"/>
        </w:rPr>
        <w:t>成立于1958年，隶属自治区体育局，属全额拨款事业单位</w:t>
      </w:r>
      <w:r>
        <w:rPr>
          <w:rFonts w:hint="eastAsia" w:ascii="宋体" w:hAnsi="宋体" w:eastAsia="宋体" w:cs="宋体"/>
          <w:bCs/>
          <w:color w:val="000000"/>
        </w:rPr>
        <w:t>。</w:t>
      </w:r>
      <w:r>
        <w:rPr>
          <w:rFonts w:hint="eastAsia" w:ascii="仿宋" w:hAnsi="仿宋" w:eastAsia="仿宋" w:cs="仿宋"/>
          <w:color w:val="000000"/>
          <w:sz w:val="32"/>
          <w:szCs w:val="32"/>
        </w:rPr>
        <w:t>主要下设有田径，男、女</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沙滩排球，男、女篮球等运动项目。目前主要承担我区田径、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沙滩排球、篮球运动项目的管理和优秀运动队的训练竞赛工作。在自治区体育局的领导下，负责单位全体人员的思想教育、组织建设；负责对全区田径、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沙滩排球、篮球项目布局、规划和发展的宏观管理；负责篮球、田径、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省级优秀运动队的管理、训练、比赛，力争取得好成绩；负责三个项目后备人才梯队的建设工作；对基层体校、特色学校等训练工作的指导；负责组织相关运动队参加国际、国内各项目各类比赛；负责三个项目大型运动会的竞赛组织及参赛工作。新疆维吾尔</w:t>
      </w:r>
      <w:r>
        <w:rPr>
          <w:rFonts w:hint="eastAsia" w:ascii="仿宋" w:hAnsi="仿宋" w:eastAsia="仿宋" w:cs="仿宋"/>
          <w:color w:val="000000"/>
          <w:sz w:val="32"/>
          <w:szCs w:val="32"/>
          <w:lang w:eastAsia="zh-CN"/>
        </w:rPr>
        <w:t>自治区体育局体育训练一大队</w:t>
      </w:r>
      <w:r>
        <w:rPr>
          <w:rFonts w:hint="eastAsia" w:ascii="仿宋" w:hAnsi="仿宋" w:eastAsia="仿宋" w:cs="仿宋"/>
          <w:color w:val="000000"/>
          <w:sz w:val="32"/>
          <w:szCs w:val="32"/>
        </w:rPr>
        <w:t>致力于新疆田径、</w:t>
      </w:r>
      <w:r>
        <w:rPr>
          <w:rFonts w:hint="eastAsia" w:ascii="仿宋" w:hAnsi="仿宋" w:eastAsia="仿宋" w:cs="仿宋"/>
          <w:color w:val="000000"/>
          <w:sz w:val="32"/>
          <w:szCs w:val="32"/>
          <w:lang w:eastAsia="zh-CN"/>
        </w:rPr>
        <w:t>排球及</w:t>
      </w:r>
      <w:r>
        <w:rPr>
          <w:rFonts w:hint="eastAsia" w:ascii="仿宋" w:hAnsi="仿宋" w:eastAsia="仿宋" w:cs="仿宋"/>
          <w:color w:val="000000"/>
          <w:sz w:val="32"/>
          <w:szCs w:val="32"/>
        </w:rPr>
        <w:t>沙滩排球、篮球运动项目的竞技水平的提高和发展，运动队人才队伍的建设和培养，为国家输送优秀运动人才。</w:t>
      </w:r>
      <w:r>
        <w:rPr>
          <w:rFonts w:hint="eastAsia" w:ascii="仿宋" w:hAnsi="仿宋" w:eastAsia="仿宋" w:cs="仿宋"/>
          <w:color w:val="000000"/>
          <w:sz w:val="32"/>
          <w:szCs w:val="32"/>
          <w:lang w:eastAsia="zh-CN"/>
        </w:rPr>
        <w:t>我单位</w:t>
      </w:r>
      <w:r>
        <w:rPr>
          <w:rFonts w:hint="eastAsia" w:ascii="仿宋" w:hAnsi="仿宋" w:eastAsia="仿宋" w:cs="仿宋"/>
          <w:color w:val="000000"/>
          <w:sz w:val="32"/>
          <w:szCs w:val="32"/>
        </w:rPr>
        <w:t>党委带领全体运动队和干部职工，饱含胸怀大局以国家利益至上、秉持自信开放以备战指导方向，坚持迎难而上以创新科学训练，勇于追求卓越以进取超越自我，携手共创未来以团结汇聚众力。</w:t>
      </w:r>
    </w:p>
    <w:p w14:paraId="028226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2、主要内容及实施情况</w:t>
      </w:r>
      <w:bookmarkStart w:id="0" w:name="_GoBack"/>
      <w:bookmarkEnd w:id="0"/>
    </w:p>
    <w:p w14:paraId="0C20EF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sz w:val="32"/>
          <w:szCs w:val="32"/>
          <w:highlight w:val="none"/>
          <w:lang w:val="en-US" w:eastAsia="zh-CN"/>
        </w:rPr>
      </w:pPr>
      <w:r>
        <w:rPr>
          <w:rFonts w:hint="eastAsia"/>
          <w:sz w:val="32"/>
          <w:szCs w:val="32"/>
          <w:highlight w:val="none"/>
          <w:lang w:val="en-US" w:eastAsia="zh-CN"/>
        </w:rPr>
        <w:t>新疆维吾尔自治区体育局体育训练一大队严格按照局党组工作要求，加大工作力度，保障运动队的训练、康复治疗、体能恢复、运动营养补给、兴奋剂检测、参加各项比赛、试训津贴发放等各项支出，严格按照专项资金的用途专款专用，最大限度提高资金利用率，本着厉行节约原则，利用好伙食补助和试训运动员津贴资金，全力做好各运动队的后勤保障。</w:t>
      </w:r>
    </w:p>
    <w:p w14:paraId="5ECB65F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highlight w:val="none"/>
          <w:lang w:val="en-US" w:eastAsia="zh-CN"/>
        </w:rPr>
      </w:pPr>
      <w:r>
        <w:rPr>
          <w:rFonts w:hint="eastAsia"/>
          <w:sz w:val="32"/>
          <w:szCs w:val="32"/>
          <w:highlight w:val="none"/>
          <w:lang w:val="en-US" w:eastAsia="zh-CN"/>
        </w:rPr>
        <w:t>根据新人社发[2009]6号关于印发《自治区体育运动员贯彻&lt;事业单位工作人员收入分配制度改革方案&gt;的实施意见》的通知要求。新财教﹝2021﹞116号《关于调整运动员教练员伙食补助标准的通知》；人社部发【2019】43号《人力资源社会保障部财政部关于调整体育运动员体育津贴标准的通知》试训津贴标准，伙食补助和试训运动员津贴工作目标：通过项目实施保障运动队营养摄入、饮食搭配，做到营养与膳食科学摄取配比；保障运动队食品安全，严禁、杜绝兴奋剂误食现象；保障试训运动员津贴切实发放到位。</w:t>
      </w:r>
    </w:p>
    <w:p w14:paraId="2698EFA5">
      <w:pPr>
        <w:keepNext w:val="0"/>
        <w:keepLines w:val="0"/>
        <w:pageBreakBefore w:val="0"/>
        <w:widowControl w:val="0"/>
        <w:kinsoku/>
        <w:wordWrap/>
        <w:overflowPunct/>
        <w:topLinePunct w:val="0"/>
        <w:autoSpaceDE/>
        <w:autoSpaceDN/>
        <w:bidi w:val="0"/>
        <w:adjustRightInd/>
        <w:snapToGrid/>
        <w:spacing w:line="600" w:lineRule="exact"/>
        <w:ind w:leftChars="0" w:firstLine="600" w:firstLineChars="200"/>
        <w:jc w:val="left"/>
        <w:textAlignment w:val="auto"/>
        <w:rPr>
          <w:rFonts w:hint="eastAsia" w:ascii="仿宋" w:hAnsi="仿宋" w:eastAsia="仿宋" w:cs="仿宋"/>
          <w:color w:val="000000"/>
          <w:sz w:val="32"/>
          <w:szCs w:val="32"/>
          <w:lang w:val="en-US" w:eastAsia="zh-CN"/>
        </w:rPr>
      </w:pPr>
      <w:r>
        <w:rPr>
          <w:rFonts w:hint="eastAsia"/>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763.96</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87.06%</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237D6DE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总体目标：主要给不少于150人每月发放伙食补助，以及不少于50名运动员每月发放试训津贴；通过项目实施保障运动队营养摄入、饮食搭配，做到营养与膳食科学摄取配比；保障运动队食品安全，严禁、杜绝兴奋剂误食现象；保障试训运动员津贴切实发放到位。</w:t>
      </w:r>
    </w:p>
    <w:p w14:paraId="6DAA76C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color w:val="auto"/>
          <w:kern w:val="0"/>
          <w:sz w:val="32"/>
          <w:szCs w:val="32"/>
          <w:highlight w:val="none"/>
          <w:lang w:val="en-US" w:eastAsia="zh-CN"/>
        </w:rPr>
        <w:t>伙食补助和试训运动员津贴项目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0144FB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个，三级指标1</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1E3F60A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经认真对照《项目支出绩效评价指标体系》，我单位伙食补助和试训运动员津贴项目指标都较好地达到了相关要求，项目评价得分：9</w:t>
      </w:r>
      <w:r>
        <w:rPr>
          <w:rFonts w:hint="eastAsia" w:ascii="仿宋_GB2312" w:hAnsi="仿宋_GB2312" w:cs="仿宋_GB2312"/>
          <w:color w:val="auto"/>
          <w:sz w:val="32"/>
          <w:szCs w:val="32"/>
          <w:highlight w:val="none"/>
          <w:lang w:val="en-US" w:eastAsia="zh-CN"/>
        </w:rPr>
        <w:t>6.3</w:t>
      </w:r>
      <w:r>
        <w:rPr>
          <w:rFonts w:hint="eastAsia" w:ascii="仿宋_GB2312" w:hAnsi="仿宋_GB2312" w:eastAsia="仿宋_GB2312" w:cs="仿宋_GB2312"/>
          <w:color w:val="auto"/>
          <w:sz w:val="32"/>
          <w:szCs w:val="32"/>
          <w:highlight w:val="none"/>
          <w:lang w:val="en-US" w:eastAsia="zh-CN"/>
        </w:rPr>
        <w:t>分，评价等级为：优。具体得分情况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4E65885">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B62417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658EB1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0AE286A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6351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①项目立项依据是《人力资源社会保障部 财政部关于调整体育运动员体育津贴标准的通知》（人社部发﹝2019﹞43号）</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关于调整运动员、教练员伙食补助标准的通知</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新财教</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2021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116</w:t>
      </w:r>
      <w:r>
        <w:rPr>
          <w:rFonts w:hint="eastAsia" w:ascii="仿宋_GB2312" w:hAnsi="仿宋_GB2312" w:eastAsia="仿宋_GB2312" w:cs="仿宋_GB2312"/>
          <w:color w:val="auto"/>
          <w:sz w:val="32"/>
          <w:szCs w:val="32"/>
          <w:highlight w:val="none"/>
          <w:lang w:val="en-US" w:eastAsia="zh-CN"/>
        </w:rPr>
        <w:t>号），符合国家法律法规和相关政策；</w:t>
      </w:r>
    </w:p>
    <w:p w14:paraId="282684D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5579DD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2E7A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074A1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32467EB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分）</w:t>
      </w:r>
    </w:p>
    <w:p w14:paraId="3393815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3A4F16A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项目设定绩效目标；项目设定一级指标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个，二级指标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个，三级指标</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个。项目绩效目标与实际工作内容具有相关性；项目预期产出效益和效果</w:t>
      </w:r>
      <w:r>
        <w:rPr>
          <w:rFonts w:hint="eastAsia" w:ascii="仿宋_GB2312" w:hAnsi="仿宋_GB2312" w:eastAsia="仿宋_GB2312" w:cs="仿宋_GB2312"/>
          <w:color w:val="auto"/>
          <w:sz w:val="32"/>
          <w:szCs w:val="32"/>
          <w:highlight w:val="none"/>
          <w:lang w:val="en-US" w:eastAsia="zh-CN"/>
        </w:rPr>
        <w:t>符合正常的业绩水平；与预算确定的项目投资额或资金量相匹配。</w:t>
      </w:r>
    </w:p>
    <w:p w14:paraId="7FD9723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1063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个。</w:t>
      </w:r>
    </w:p>
    <w:p w14:paraId="5203EA4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4ECBD78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数量指标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：伙食补助人数≥150人；运动员试训津贴发放人数≥50人；试训津贴发放次数=12次；伙食费结算次数=12次。</w:t>
      </w:r>
    </w:p>
    <w:p w14:paraId="639E8A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质量指标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：食品安全检测通过率≥98%；兴奋剂发生率=0%；津贴发放准确率=100%。</w:t>
      </w:r>
    </w:p>
    <w:p w14:paraId="116D190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经济</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成本指标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：试训津贴发放数≤355.20万元；伙食补助发放成本≤522.36万元。</w:t>
      </w:r>
    </w:p>
    <w:p w14:paraId="3A791F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服务对象满意度指标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：受益运动员满意度≥93%。</w:t>
      </w:r>
    </w:p>
    <w:p w14:paraId="79E7E6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110BA61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48FB4BB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3、资金投入分析（得分6分）</w:t>
      </w:r>
    </w:p>
    <w:p w14:paraId="41DBC0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3C694FC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资金分配合理性（得分3分）：预算资金分配依据充分；资金分配额度与实际工作完成所需资金量相适应。</w:t>
      </w:r>
    </w:p>
    <w:p w14:paraId="7D493173">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59CE8A1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19.50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97.5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4EFE2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w:t>
      </w:r>
      <w:r>
        <w:rPr>
          <w:rFonts w:hint="eastAsia" w:ascii="仿宋_GB2312" w:hAnsi="仿宋_GB2312" w:cs="仿宋_GB2312"/>
          <w:color w:val="auto"/>
          <w:sz w:val="32"/>
          <w:szCs w:val="32"/>
          <w:highlight w:val="none"/>
          <w:lang w:val="en-US" w:eastAsia="zh-CN"/>
        </w:rPr>
        <w:t>11.5</w:t>
      </w:r>
      <w:r>
        <w:rPr>
          <w:rFonts w:hint="eastAsia" w:ascii="仿宋_GB2312" w:hAnsi="仿宋_GB2312" w:eastAsia="仿宋_GB2312" w:cs="仿宋_GB2312"/>
          <w:color w:val="auto"/>
          <w:sz w:val="32"/>
          <w:szCs w:val="32"/>
          <w:highlight w:val="none"/>
          <w:lang w:val="en-US" w:eastAsia="zh-CN"/>
        </w:rPr>
        <w:t>分）</w:t>
      </w:r>
    </w:p>
    <w:p w14:paraId="6B8F8C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6095C69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万元，资金到位率100%。</w:t>
      </w:r>
    </w:p>
    <w:p w14:paraId="73B5E5B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auto"/>
          <w:sz w:val="32"/>
          <w:szCs w:val="32"/>
          <w:highlight w:val="none"/>
          <w:lang w:val="en-US" w:eastAsia="zh-CN"/>
        </w:rPr>
        <w:t>（2）预算执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行率（得分</w:t>
      </w:r>
      <w:r>
        <w:rPr>
          <w:rFonts w:hint="eastAsia" w:ascii="仿宋_GB2312" w:hAnsi="仿宋_GB2312" w:cs="仿宋_GB2312"/>
          <w:color w:val="000000" w:themeColor="text1"/>
          <w:sz w:val="32"/>
          <w:szCs w:val="32"/>
          <w:highlight w:val="none"/>
          <w:lang w:val="en-US" w:eastAsia="zh-CN"/>
          <w14:textFill>
            <w14:solidFill>
              <w14:schemeClr w14:val="tx1"/>
            </w14:solidFill>
          </w14:textFill>
        </w:rPr>
        <w:t>3.5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分）</w:t>
      </w:r>
    </w:p>
    <w:p w14:paraId="20DC9C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预算执行率</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用以反映或考核项目预</w:t>
      </w:r>
      <w:r>
        <w:rPr>
          <w:rFonts w:hint="default" w:ascii="仿宋_GB2312" w:hAnsi="仿宋_GB2312" w:eastAsia="仿宋_GB2312" w:cs="仿宋_GB2312"/>
          <w:color w:val="auto"/>
          <w:sz w:val="32"/>
          <w:szCs w:val="32"/>
          <w:highlight w:val="none"/>
          <w:lang w:val="en-US" w:eastAsia="zh-CN"/>
        </w:rPr>
        <w:t>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877.56</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763.96</w:t>
      </w:r>
      <w:r>
        <w:rPr>
          <w:rFonts w:hint="eastAsia" w:ascii="仿宋_GB2312" w:hAnsi="仿宋_GB2312" w:eastAsia="仿宋_GB2312" w:cs="仿宋_GB2312"/>
          <w:color w:val="auto"/>
          <w:sz w:val="32"/>
          <w:szCs w:val="32"/>
          <w:highlight w:val="none"/>
          <w:lang w:val="en-US" w:eastAsia="zh-CN"/>
        </w:rPr>
        <w:t>万元，预算执行率</w:t>
      </w:r>
      <w:r>
        <w:rPr>
          <w:rFonts w:hint="eastAsia" w:ascii="仿宋_GB2312" w:hAnsi="仿宋_GB2312" w:cs="仿宋_GB2312"/>
          <w:color w:val="auto"/>
          <w:sz w:val="32"/>
          <w:szCs w:val="32"/>
          <w:highlight w:val="none"/>
          <w:lang w:val="en-US" w:eastAsia="zh-CN"/>
        </w:rPr>
        <w:t>87.06</w:t>
      </w:r>
      <w:r>
        <w:rPr>
          <w:rFonts w:hint="eastAsia" w:ascii="仿宋_GB2312" w:hAnsi="仿宋_GB2312" w:eastAsia="仿宋_GB2312" w:cs="仿宋_GB2312"/>
          <w:color w:val="auto"/>
          <w:sz w:val="32"/>
          <w:szCs w:val="32"/>
          <w:highlight w:val="none"/>
          <w:lang w:val="en-US" w:eastAsia="zh-CN"/>
        </w:rPr>
        <w:t>%。</w:t>
      </w:r>
    </w:p>
    <w:p w14:paraId="0F6F54A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412157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4A3FA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2、组织实施分析（得分8分）</w:t>
      </w:r>
    </w:p>
    <w:p w14:paraId="35CC1C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0CB028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0D6B53D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D22E92B">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5C8415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BD98BB0">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6BD617C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数量指标：指标1：伙食补助人数，指标值：≥150人，实际完成值163人，指标完成率100%；</w:t>
      </w:r>
    </w:p>
    <w:p w14:paraId="0612253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指标2：运动员试训津贴发放人数，指标值：≥50人，实际完成值83人，指标完成率100%；</w:t>
      </w:r>
    </w:p>
    <w:p w14:paraId="2863BA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指标3：试训津贴发放次数，指标值：=12次，实际完成值12次，指标完成率100%；</w:t>
      </w:r>
    </w:p>
    <w:p w14:paraId="09C61AC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指标4：伙食费结算次数，指标值：=12次，实际完成值12次，指标完成率100%。</w:t>
      </w:r>
    </w:p>
    <w:p w14:paraId="00BD8BEA">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4139E14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质量指标：指标1：食品安全检测通过率，指标值：≥98%，实际完成值100%，指标完成率100%；</w:t>
      </w:r>
    </w:p>
    <w:p w14:paraId="3CC1EE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指标2：兴奋剂发生率，指标值：=0%，实际完成值:0%，指标完成率100%；</w:t>
      </w:r>
    </w:p>
    <w:p w14:paraId="1F4CC02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指标3：津贴发放准确率，指标值：=100%，实际完成值:100%，指标完成率100%。</w:t>
      </w:r>
    </w:p>
    <w:p w14:paraId="185D5D74">
      <w:pPr>
        <w:spacing w:line="560" w:lineRule="exact"/>
        <w:ind w:firstLine="643" w:firstLineChars="200"/>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3F6F26D8">
      <w:pPr>
        <w:spacing w:line="560" w:lineRule="exact"/>
        <w:ind w:firstLine="640" w:firstLineChars="200"/>
        <w:outlineLvl w:val="0"/>
        <w:rPr>
          <w:rFonts w:hint="eastAsia" w:ascii="仿宋" w:hAnsi="仿宋" w:eastAsia="仿宋" w:cs="仿宋"/>
          <w:sz w:val="32"/>
          <w:szCs w:val="32"/>
          <w:highlight w:val="none"/>
          <w:lang w:val="zh-TW" w:eastAsia="zh-TW"/>
        </w:rPr>
      </w:pPr>
      <w:r>
        <w:rPr>
          <w:rFonts w:hint="eastAsia" w:ascii="仿宋" w:hAnsi="仿宋" w:eastAsia="仿宋" w:cs="仿宋"/>
          <w:sz w:val="32"/>
          <w:szCs w:val="32"/>
          <w:highlight w:val="none"/>
          <w:lang w:val="zh-TW" w:eastAsia="zh-TW"/>
        </w:rPr>
        <w:t>项目</w:t>
      </w:r>
      <w:r>
        <w:rPr>
          <w:rFonts w:hint="eastAsia" w:ascii="仿宋" w:hAnsi="仿宋" w:eastAsia="仿宋" w:cs="仿宋"/>
          <w:sz w:val="32"/>
          <w:szCs w:val="32"/>
          <w:highlight w:val="none"/>
          <w:lang w:val="en-US" w:eastAsia="zh-CN"/>
        </w:rPr>
        <w:t>成本共1</w:t>
      </w:r>
      <w:r>
        <w:rPr>
          <w:rFonts w:hint="eastAsia" w:ascii="仿宋" w:hAnsi="仿宋" w:eastAsia="仿宋" w:cs="仿宋"/>
          <w:sz w:val="32"/>
          <w:szCs w:val="32"/>
          <w:highlight w:val="none"/>
        </w:rPr>
        <w:t>个二级指标</w:t>
      </w:r>
      <w:r>
        <w:rPr>
          <w:rFonts w:hint="eastAsia" w:ascii="仿宋" w:hAnsi="仿宋" w:eastAsia="仿宋" w:cs="仿宋"/>
          <w:sz w:val="32"/>
          <w:szCs w:val="32"/>
          <w:highlight w:val="none"/>
          <w:lang w:val="zh-TW" w:eastAsia="zh-TW"/>
        </w:rPr>
        <w:t>。该项满分为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w:t>
      </w:r>
      <w:r>
        <w:rPr>
          <w:rFonts w:hint="eastAsia" w:ascii="仿宋" w:hAnsi="仿宋" w:eastAsia="仿宋" w:cs="仿宋"/>
          <w:sz w:val="32"/>
          <w:szCs w:val="32"/>
          <w:highlight w:val="none"/>
          <w:lang w:val="en-US" w:eastAsia="zh-CN"/>
        </w:rPr>
        <w:t>6.8</w:t>
      </w:r>
      <w:r>
        <w:rPr>
          <w:rFonts w:hint="eastAsia" w:ascii="仿宋" w:hAnsi="仿宋" w:eastAsia="仿宋" w:cs="仿宋"/>
          <w:sz w:val="32"/>
          <w:szCs w:val="32"/>
          <w:highlight w:val="none"/>
          <w:lang w:val="zh-TW" w:eastAsia="zh-TW"/>
        </w:rPr>
        <w:t>分，得分率</w:t>
      </w:r>
      <w:r>
        <w:rPr>
          <w:rFonts w:hint="eastAsia" w:ascii="仿宋" w:hAnsi="仿宋" w:eastAsia="仿宋" w:cs="仿宋"/>
          <w:sz w:val="32"/>
          <w:szCs w:val="32"/>
          <w:highlight w:val="none"/>
          <w:lang w:val="en-US" w:eastAsia="zh-CN"/>
        </w:rPr>
        <w:t>68</w:t>
      </w:r>
      <w:r>
        <w:rPr>
          <w:rFonts w:hint="eastAsia" w:ascii="仿宋" w:hAnsi="仿宋" w:eastAsia="仿宋" w:cs="仿宋"/>
          <w:sz w:val="32"/>
          <w:szCs w:val="32"/>
          <w:highlight w:val="none"/>
          <w:lang w:val="zh-TW" w:eastAsia="zh-TW"/>
        </w:rPr>
        <w:t>%。</w:t>
      </w:r>
    </w:p>
    <w:p w14:paraId="3A106E7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成本指标分析（得分6.8分）</w:t>
      </w:r>
    </w:p>
    <w:p w14:paraId="52A3E42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经济成本指标：指标1：试训发放津贴数，指标值：≤355.20万元，实际完成值241.60万元，指标完成率68.02%；</w:t>
      </w:r>
    </w:p>
    <w:p w14:paraId="7835681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指标2：伙食补助发放成本，指标值：≤522.36万元，实际完成值522.36万元，指标完成率100.00%。</w:t>
      </w:r>
    </w:p>
    <w:p w14:paraId="059DA669">
      <w:pPr>
        <w:spacing w:line="560" w:lineRule="exact"/>
        <w:ind w:firstLine="643" w:firstLineChars="200"/>
        <w:outlineLvl w:val="0"/>
        <w:rPr>
          <w:rFonts w:hint="eastAsia" w:ascii="仿宋" w:hAnsi="仿宋" w:eastAsia="仿宋" w:cs="仿宋"/>
          <w:b/>
          <w:bCs/>
          <w:kern w:val="2"/>
          <w:sz w:val="32"/>
          <w:szCs w:val="32"/>
          <w:highlight w:val="none"/>
          <w:lang w:val="zh-TW" w:eastAsia="zh-CN" w:bidi="ar-SA"/>
        </w:rPr>
      </w:pPr>
      <w:r>
        <w:rPr>
          <w:rFonts w:hint="eastAsia" w:ascii="仿宋" w:hAnsi="仿宋" w:eastAsia="仿宋" w:cs="仿宋"/>
          <w:b/>
          <w:bCs/>
          <w:kern w:val="2"/>
          <w:sz w:val="32"/>
          <w:szCs w:val="32"/>
          <w:highlight w:val="none"/>
          <w:lang w:val="zh-TW" w:eastAsia="zh-CN" w:bidi="ar-SA"/>
        </w:rPr>
        <w:t>（</w:t>
      </w:r>
      <w:r>
        <w:rPr>
          <w:rFonts w:hint="eastAsia" w:ascii="仿宋" w:hAnsi="仿宋" w:eastAsia="仿宋" w:cs="仿宋"/>
          <w:b/>
          <w:bCs/>
          <w:kern w:val="2"/>
          <w:sz w:val="32"/>
          <w:szCs w:val="32"/>
          <w:highlight w:val="none"/>
          <w:lang w:val="en-US" w:eastAsia="zh-CN" w:bidi="ar-SA"/>
        </w:rPr>
        <w:t>五）</w:t>
      </w:r>
      <w:r>
        <w:rPr>
          <w:rFonts w:hint="eastAsia" w:ascii="仿宋" w:hAnsi="仿宋" w:eastAsia="仿宋" w:cs="仿宋"/>
          <w:b/>
          <w:bCs/>
          <w:kern w:val="2"/>
          <w:sz w:val="32"/>
          <w:szCs w:val="32"/>
          <w:highlight w:val="none"/>
          <w:lang w:val="zh-TW" w:eastAsia="zh-CN" w:bidi="ar-SA"/>
        </w:rPr>
        <w:t>项目效益情况</w:t>
      </w:r>
    </w:p>
    <w:p w14:paraId="1FC186B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项目效益包括满意度1个三级指标。该项满分为30 分，得分30分，得分率100%。　</w:t>
      </w:r>
      <w:r>
        <w:rPr>
          <w:rFonts w:hint="eastAsia" w:ascii="仿宋_GB2312" w:hAnsi="仿宋_GB2312" w:eastAsia="仿宋_GB2312" w:cs="仿宋_GB2312"/>
          <w:color w:val="auto"/>
          <w:sz w:val="32"/>
          <w:szCs w:val="32"/>
          <w:highlight w:val="none"/>
          <w:lang w:val="en-US" w:eastAsia="zh-CN"/>
        </w:rPr>
        <w:tab/>
      </w:r>
    </w:p>
    <w:p w14:paraId="1F159E1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满意度（得分30分）</w:t>
      </w:r>
    </w:p>
    <w:p w14:paraId="787BE54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满意度指标：指标1：受益运动员满意度，指标值：≥93%，实际完成值97.48%，指标完成率100%。</w:t>
      </w:r>
    </w:p>
    <w:p w14:paraId="1EEF29AC">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72308CE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一是建立内部审核机制，形成健全的内部约束机制。狠抓项目管理工作，坚持项目跟随计划走、资金跟随项目走的原则，不得随意调整项目。</w:t>
      </w:r>
    </w:p>
    <w:p w14:paraId="2FF6740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二是严格预算管理制度，建立科学的预算管理体系，确保项目落实。在项目实施过程中，坚决做到专款专用，不挤占、不挪用，对经费使用建立监督制约机制，确保经费使用合理、合规。</w:t>
      </w:r>
    </w:p>
    <w:p w14:paraId="2EA6E3C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三是坚持全面预算原则，树立全员参与预算意识，加强预算管理，力争项目资金预算贴近实际，提高预算的准确性。</w:t>
      </w:r>
    </w:p>
    <w:p w14:paraId="07A7544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四是预算管理与绩效评估有效地结合，项目资金做到事前有预算、事中有控制、事后有考评。</w:t>
      </w:r>
    </w:p>
    <w:p w14:paraId="21174E1D">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2B6C3C1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新疆体育事业伴随着经济社会各项事业的发展，发生了巨大变化。通过伙食补助和试训运动员津贴专项资金的投入，</w:t>
      </w:r>
      <w:r>
        <w:rPr>
          <w:rFonts w:hint="eastAsia" w:ascii="仿宋_GB2312" w:hAnsi="仿宋_GB2312" w:cs="仿宋_GB2312"/>
          <w:color w:val="auto"/>
          <w:sz w:val="32"/>
          <w:szCs w:val="32"/>
          <w:highlight w:val="none"/>
          <w:lang w:val="en-US" w:eastAsia="zh-CN"/>
        </w:rPr>
        <w:t>我单位</w:t>
      </w:r>
      <w:r>
        <w:rPr>
          <w:rFonts w:hint="eastAsia" w:ascii="仿宋_GB2312" w:hAnsi="仿宋_GB2312" w:eastAsia="仿宋_GB2312" w:cs="仿宋_GB2312"/>
          <w:color w:val="auto"/>
          <w:sz w:val="32"/>
          <w:szCs w:val="32"/>
          <w:highlight w:val="none"/>
          <w:lang w:val="en-US" w:eastAsia="zh-CN"/>
        </w:rPr>
        <w:t>各项目队伍在训练期间获得足够的营养支持，通过及时准确发放试训运动员津贴，针对处于试训阶段，还没有正式成为职业运动员的人提供经济支持，帮助他们维持基本生活需求，从而专注于训练，从而激励他们取得更好的成绩，同时也能吸引更多人才加入运动队伍，扩大体育人才储备。本项目是延续性项目，项目执行中严格按照相关审批手续流程执行，不存在其他问题。</w:t>
      </w:r>
    </w:p>
    <w:p w14:paraId="4B6147BA">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12C3685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1、对项目实施过程中不具实际指导意义的项目指标予以剔除，更换更具操作性实用性指标；</w:t>
      </w:r>
    </w:p>
    <w:p w14:paraId="2EA08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2、资金的拨付有完整的审批程序和手续，确保各项制度落实见效，资金使用安全规范，在资金使用过程中，厉行节约、避免浪费，使项目资金能最大限度地发挥作用。</w:t>
      </w:r>
    </w:p>
    <w:p w14:paraId="158F1AB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3、绩效目标应结合各单位实际情况进一步细化，考核指标可以更明晰、体现差异化、增强横向可比性。</w:t>
      </w:r>
    </w:p>
    <w:p w14:paraId="1B47F2E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60837F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6BB7003">
      <w:pPr>
        <w:pageBreakBefore w:val="0"/>
        <w:kinsoku/>
        <w:wordWrap/>
        <w:overflowPunct/>
        <w:topLinePunct w:val="0"/>
        <w:autoSpaceDE/>
        <w:autoSpaceDN/>
        <w:bidi w:val="0"/>
        <w:adjustRightInd/>
        <w:snapToGrid/>
        <w:spacing w:line="600" w:lineRule="exact"/>
        <w:ind w:leftChars="0"/>
        <w:textAlignment w:val="auto"/>
        <w:rPr>
          <w:highlight w:val="none"/>
        </w:rPr>
      </w:pP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293826"/>
    <w:multiLevelType w:val="singleLevel"/>
    <w:tmpl w:val="3F29382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57E6C6F"/>
    <w:rsid w:val="05E32BBD"/>
    <w:rsid w:val="097D5F3D"/>
    <w:rsid w:val="0AC22D4B"/>
    <w:rsid w:val="0C161463"/>
    <w:rsid w:val="0E0B08DE"/>
    <w:rsid w:val="0F6B60BB"/>
    <w:rsid w:val="0FF85779"/>
    <w:rsid w:val="166626FB"/>
    <w:rsid w:val="16E66E3E"/>
    <w:rsid w:val="1B2572C5"/>
    <w:rsid w:val="1B675694"/>
    <w:rsid w:val="1C9F7D88"/>
    <w:rsid w:val="1F42113B"/>
    <w:rsid w:val="1FB04EF2"/>
    <w:rsid w:val="24651B54"/>
    <w:rsid w:val="24B34E7F"/>
    <w:rsid w:val="28BB1CCD"/>
    <w:rsid w:val="2A1F27A5"/>
    <w:rsid w:val="2CBB4F33"/>
    <w:rsid w:val="30491A1C"/>
    <w:rsid w:val="308A01C2"/>
    <w:rsid w:val="31EE5C53"/>
    <w:rsid w:val="347C640A"/>
    <w:rsid w:val="359B2D0C"/>
    <w:rsid w:val="394012FE"/>
    <w:rsid w:val="3A5E212D"/>
    <w:rsid w:val="3C1F3318"/>
    <w:rsid w:val="3E6E7AA7"/>
    <w:rsid w:val="3ECF4342"/>
    <w:rsid w:val="3EFF06FC"/>
    <w:rsid w:val="428F0FF6"/>
    <w:rsid w:val="435F1167"/>
    <w:rsid w:val="44B02520"/>
    <w:rsid w:val="49C1176A"/>
    <w:rsid w:val="50E926B1"/>
    <w:rsid w:val="51373C80"/>
    <w:rsid w:val="5334256E"/>
    <w:rsid w:val="551F668B"/>
    <w:rsid w:val="56DF6C36"/>
    <w:rsid w:val="58C67691"/>
    <w:rsid w:val="58E75F2E"/>
    <w:rsid w:val="5C3D2F98"/>
    <w:rsid w:val="5F5407BB"/>
    <w:rsid w:val="611B393D"/>
    <w:rsid w:val="628F4B42"/>
    <w:rsid w:val="67687A02"/>
    <w:rsid w:val="68907DEF"/>
    <w:rsid w:val="6D7F5857"/>
    <w:rsid w:val="6F3C6C31"/>
    <w:rsid w:val="6F736745"/>
    <w:rsid w:val="70CD5F70"/>
    <w:rsid w:val="718F50E7"/>
    <w:rsid w:val="746D7236"/>
    <w:rsid w:val="7B5567E1"/>
    <w:rsid w:val="7EDC0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2">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w:basedOn w:val="1"/>
    <w:next w:val="1"/>
    <w:qFormat/>
    <w:uiPriority w:val="0"/>
    <w:pPr>
      <w:spacing w:after="120" w:afterLines="0" w:afterAutospacing="0"/>
    </w:pPr>
  </w:style>
  <w:style w:type="paragraph" w:styleId="6">
    <w:name w:val="Body Text Indent 2"/>
    <w:basedOn w:val="1"/>
    <w:autoRedefine/>
    <w:qFormat/>
    <w:uiPriority w:val="0"/>
    <w:pPr>
      <w:spacing w:line="480" w:lineRule="auto"/>
      <w:ind w:left="420" w:leftChars="200"/>
    </w:pPr>
  </w:style>
  <w:style w:type="character" w:styleId="9">
    <w:name w:val="Strong"/>
    <w:basedOn w:val="8"/>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984</Words>
  <Characters>1009</Characters>
  <Lines>0</Lines>
  <Paragraphs>0</Paragraphs>
  <TotalTime>2</TotalTime>
  <ScaleCrop>false</ScaleCrop>
  <LinksUpToDate>false</LinksUpToDate>
  <CharactersWithSpaces>1012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左先生</cp:lastModifiedBy>
  <dcterms:modified xsi:type="dcterms:W3CDTF">2025-04-11T03:53:00Z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6B979DDFB3E6472D9A785E4B04E011E1_13</vt:lpwstr>
  </property>
  <property fmtid="{D5CDD505-2E9C-101B-9397-08002B2CF9AE}" pid="4" name="KSOTemplateDocerSaveRecord">
    <vt:lpwstr>eyJoZGlkIjoiM2Q2MWJjYzE4ODNiNThkZWIwZDQzYTExYzlhYzg5MTQifQ==</vt:lpwstr>
  </property>
</Properties>
</file>