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C465A9">
      <w:pPr>
        <w:spacing w:line="540" w:lineRule="exact"/>
        <w:jc w:val="center"/>
        <w:rPr>
          <w:rFonts w:ascii="华文中宋" w:hAnsi="华文中宋" w:eastAsia="华文中宋" w:cs="宋体"/>
          <w:b/>
          <w:kern w:val="0"/>
          <w:sz w:val="52"/>
          <w:szCs w:val="52"/>
        </w:rPr>
      </w:pPr>
    </w:p>
    <w:p w14:paraId="226C397C">
      <w:pPr>
        <w:spacing w:line="540" w:lineRule="exact"/>
        <w:jc w:val="center"/>
        <w:rPr>
          <w:rFonts w:ascii="华文中宋" w:hAnsi="华文中宋" w:eastAsia="华文中宋" w:cs="宋体"/>
          <w:b/>
          <w:kern w:val="0"/>
          <w:sz w:val="52"/>
          <w:szCs w:val="52"/>
        </w:rPr>
      </w:pPr>
      <w:bookmarkStart w:id="0" w:name="_GoBack"/>
      <w:bookmarkEnd w:id="0"/>
    </w:p>
    <w:p w14:paraId="17FCF339">
      <w:pPr>
        <w:spacing w:line="540" w:lineRule="exact"/>
        <w:jc w:val="center"/>
        <w:rPr>
          <w:rFonts w:ascii="华文中宋" w:hAnsi="华文中宋" w:eastAsia="华文中宋" w:cs="宋体"/>
          <w:b/>
          <w:kern w:val="0"/>
          <w:sz w:val="52"/>
          <w:szCs w:val="52"/>
        </w:rPr>
      </w:pPr>
    </w:p>
    <w:p w14:paraId="1DFB22F6">
      <w:pPr>
        <w:spacing w:line="540" w:lineRule="exact"/>
        <w:rPr>
          <w:rFonts w:ascii="华文中宋" w:hAnsi="华文中宋" w:eastAsia="华文中宋" w:cs="宋体"/>
          <w:b/>
          <w:kern w:val="0"/>
          <w:sz w:val="52"/>
          <w:szCs w:val="52"/>
        </w:rPr>
      </w:pPr>
    </w:p>
    <w:p w14:paraId="585D6ACB">
      <w:pPr>
        <w:spacing w:line="540" w:lineRule="exact"/>
        <w:rPr>
          <w:rFonts w:ascii="华文中宋" w:hAnsi="华文中宋" w:eastAsia="华文中宋" w:cs="宋体"/>
          <w:b/>
          <w:kern w:val="0"/>
          <w:sz w:val="52"/>
          <w:szCs w:val="52"/>
        </w:rPr>
      </w:pPr>
    </w:p>
    <w:p w14:paraId="12740B95">
      <w:pPr>
        <w:spacing w:line="540" w:lineRule="exact"/>
        <w:jc w:val="center"/>
        <w:rPr>
          <w:rFonts w:ascii="华文中宋" w:hAnsi="华文中宋" w:eastAsia="华文中宋" w:cs="宋体"/>
          <w:b/>
          <w:kern w:val="0"/>
          <w:sz w:val="52"/>
          <w:szCs w:val="52"/>
        </w:rPr>
      </w:pPr>
    </w:p>
    <w:p w14:paraId="5C24439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自治区部门单位整体支出绩效</w:t>
      </w:r>
    </w:p>
    <w:p w14:paraId="7B84369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14:paraId="3C22ADF4">
      <w:pPr>
        <w:spacing w:line="540" w:lineRule="exact"/>
        <w:jc w:val="center"/>
        <w:rPr>
          <w:rFonts w:ascii="华文中宋" w:hAnsi="华文中宋" w:eastAsia="华文中宋" w:cs="宋体"/>
          <w:b/>
          <w:kern w:val="0"/>
          <w:sz w:val="52"/>
          <w:szCs w:val="52"/>
        </w:rPr>
      </w:pPr>
    </w:p>
    <w:p w14:paraId="21ED76D6">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hAnsi="宋体" w:eastAsia="仿宋_GB2312" w:cs="宋体"/>
          <w:kern w:val="0"/>
          <w:sz w:val="36"/>
          <w:szCs w:val="36"/>
          <w:lang w:val="en-US" w:eastAsia="zh-CN"/>
        </w:rPr>
        <w:t>2024</w:t>
      </w:r>
      <w:r>
        <w:rPr>
          <w:rFonts w:hint="eastAsia" w:hAnsi="宋体" w:eastAsia="仿宋_GB2312" w:cs="宋体"/>
          <w:kern w:val="0"/>
          <w:sz w:val="36"/>
          <w:szCs w:val="36"/>
        </w:rPr>
        <w:t xml:space="preserve"> 年度）</w:t>
      </w:r>
    </w:p>
    <w:p w14:paraId="23EDD3A1">
      <w:pPr>
        <w:spacing w:line="540" w:lineRule="exact"/>
        <w:jc w:val="center"/>
        <w:rPr>
          <w:rFonts w:hAnsi="宋体" w:eastAsia="仿宋_GB2312" w:cs="宋体"/>
          <w:kern w:val="0"/>
          <w:sz w:val="30"/>
          <w:szCs w:val="30"/>
        </w:rPr>
      </w:pPr>
    </w:p>
    <w:p w14:paraId="5F1ED7F0">
      <w:pPr>
        <w:spacing w:line="540" w:lineRule="exact"/>
        <w:jc w:val="center"/>
        <w:rPr>
          <w:rFonts w:hAnsi="宋体" w:eastAsia="仿宋_GB2312" w:cs="宋体"/>
          <w:kern w:val="0"/>
          <w:sz w:val="30"/>
          <w:szCs w:val="30"/>
        </w:rPr>
      </w:pPr>
    </w:p>
    <w:p w14:paraId="5F2F9F94">
      <w:pPr>
        <w:spacing w:line="540" w:lineRule="exact"/>
        <w:jc w:val="center"/>
        <w:rPr>
          <w:rFonts w:hAnsi="宋体" w:eastAsia="仿宋_GB2312" w:cs="宋体"/>
          <w:kern w:val="0"/>
          <w:sz w:val="30"/>
          <w:szCs w:val="30"/>
        </w:rPr>
      </w:pPr>
    </w:p>
    <w:p w14:paraId="6293F44F">
      <w:pPr>
        <w:spacing w:line="540" w:lineRule="exact"/>
        <w:jc w:val="center"/>
        <w:rPr>
          <w:rFonts w:hAnsi="宋体" w:eastAsia="仿宋_GB2312" w:cs="宋体"/>
          <w:kern w:val="0"/>
          <w:sz w:val="30"/>
          <w:szCs w:val="30"/>
        </w:rPr>
      </w:pPr>
    </w:p>
    <w:p w14:paraId="4732DA25">
      <w:pPr>
        <w:spacing w:line="540" w:lineRule="exact"/>
        <w:jc w:val="center"/>
        <w:rPr>
          <w:rFonts w:hAnsi="宋体" w:eastAsia="仿宋_GB2312" w:cs="宋体"/>
          <w:kern w:val="0"/>
          <w:sz w:val="30"/>
          <w:szCs w:val="30"/>
        </w:rPr>
      </w:pPr>
    </w:p>
    <w:p w14:paraId="53F10EFE">
      <w:pPr>
        <w:spacing w:line="540" w:lineRule="exact"/>
        <w:rPr>
          <w:rFonts w:hAnsi="宋体" w:eastAsia="仿宋_GB2312" w:cs="宋体"/>
          <w:kern w:val="0"/>
          <w:sz w:val="30"/>
          <w:szCs w:val="30"/>
        </w:rPr>
      </w:pPr>
    </w:p>
    <w:p w14:paraId="407FD978">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A7C1B8A">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部门单位名称（公章）：新疆维吾尔自治区体育局</w:t>
      </w:r>
    </w:p>
    <w:p w14:paraId="55C70DD1">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w:t>
      </w:r>
      <w:r>
        <w:rPr>
          <w:rFonts w:hint="eastAsia" w:hAnsi="宋体" w:eastAsia="仿宋_GB2312" w:cs="宋体"/>
          <w:kern w:val="0"/>
          <w:sz w:val="36"/>
          <w:szCs w:val="36"/>
          <w:lang w:val="en-US" w:eastAsia="zh-CN"/>
        </w:rPr>
        <w:t>2025</w:t>
      </w:r>
      <w:r>
        <w:rPr>
          <w:rFonts w:hint="eastAsia" w:hAnsi="宋体" w:eastAsia="仿宋_GB2312" w:cs="宋体"/>
          <w:kern w:val="0"/>
          <w:sz w:val="36"/>
          <w:szCs w:val="36"/>
        </w:rPr>
        <w:t>年</w:t>
      </w:r>
      <w:r>
        <w:rPr>
          <w:rFonts w:hint="eastAsia" w:hAnsi="宋体" w:eastAsia="仿宋_GB2312" w:cs="宋体"/>
          <w:kern w:val="0"/>
          <w:sz w:val="36"/>
          <w:szCs w:val="36"/>
          <w:lang w:val="en-US" w:eastAsia="zh-CN"/>
        </w:rPr>
        <w:t>4</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11</w:t>
      </w:r>
      <w:r>
        <w:rPr>
          <w:rFonts w:hint="eastAsia" w:hAnsi="宋体" w:eastAsia="仿宋_GB2312" w:cs="宋体"/>
          <w:kern w:val="0"/>
          <w:sz w:val="36"/>
          <w:szCs w:val="36"/>
        </w:rPr>
        <w:t>日</w:t>
      </w:r>
    </w:p>
    <w:p w14:paraId="0B93A8BB">
      <w:pPr>
        <w:spacing w:line="700" w:lineRule="exact"/>
        <w:ind w:firstLine="849" w:firstLineChars="236"/>
        <w:jc w:val="left"/>
        <w:rPr>
          <w:rFonts w:hAnsi="宋体" w:eastAsia="仿宋_GB2312" w:cs="宋体"/>
          <w:kern w:val="0"/>
          <w:sz w:val="36"/>
          <w:szCs w:val="36"/>
        </w:rPr>
      </w:pPr>
    </w:p>
    <w:p w14:paraId="2E3477A5">
      <w:pPr>
        <w:spacing w:line="700" w:lineRule="exact"/>
        <w:ind w:firstLine="849" w:firstLineChars="236"/>
        <w:jc w:val="left"/>
        <w:rPr>
          <w:rFonts w:hAnsi="宋体" w:eastAsia="仿宋_GB2312" w:cs="宋体"/>
          <w:kern w:val="0"/>
          <w:sz w:val="36"/>
          <w:szCs w:val="36"/>
        </w:rPr>
      </w:pPr>
    </w:p>
    <w:p w14:paraId="3C77DF39">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黑体" w:hAnsi="黑体" w:eastAsia="黑体" w:cs="黑体"/>
          <w:b w:val="0"/>
          <w:bCs w:val="0"/>
          <w:sz w:val="32"/>
          <w:szCs w:val="32"/>
          <w:lang w:val="en-US" w:eastAsia="zh-CN"/>
        </w:rPr>
      </w:pPr>
    </w:p>
    <w:p w14:paraId="5081485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一、基本概况</w:t>
      </w:r>
    </w:p>
    <w:p w14:paraId="64924A50">
      <w:pPr>
        <w:spacing w:line="540" w:lineRule="exact"/>
        <w:ind w:firstLine="567" w:firstLineChars="181"/>
        <w:rPr>
          <w:rStyle w:val="7"/>
          <w:rFonts w:hint="eastAsia" w:ascii="楷体" w:hAnsi="楷体" w:eastAsia="楷体" w:cs="楷体"/>
          <w:b/>
          <w:bCs w:val="0"/>
          <w:spacing w:val="-4"/>
          <w:sz w:val="32"/>
          <w:szCs w:val="32"/>
        </w:rPr>
      </w:pPr>
      <w:r>
        <w:rPr>
          <w:rStyle w:val="7"/>
          <w:rFonts w:hint="eastAsia" w:ascii="楷体" w:hAnsi="楷体" w:eastAsia="楷体" w:cs="楷体"/>
          <w:b/>
          <w:bCs w:val="0"/>
          <w:spacing w:val="-4"/>
          <w:sz w:val="32"/>
          <w:szCs w:val="32"/>
          <w:lang w:val="en-US" w:eastAsia="zh-CN"/>
        </w:rPr>
        <w:t>(一)</w:t>
      </w:r>
      <w:r>
        <w:rPr>
          <w:rStyle w:val="7"/>
          <w:rFonts w:hint="eastAsia" w:ascii="楷体" w:hAnsi="楷体" w:eastAsia="楷体" w:cs="楷体"/>
          <w:b/>
          <w:bCs w:val="0"/>
          <w:spacing w:val="-4"/>
          <w:sz w:val="32"/>
          <w:szCs w:val="32"/>
        </w:rPr>
        <w:t>部门单位基本情况</w:t>
      </w:r>
    </w:p>
    <w:p w14:paraId="6C3CFDB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 w:hAnsi="仿宋" w:eastAsia="仿宋" w:cs="仿宋"/>
          <w:b w:val="0"/>
          <w:bCs/>
          <w:sz w:val="32"/>
          <w:szCs w:val="32"/>
          <w:lang w:val="en-US" w:eastAsia="zh-CN"/>
        </w:rPr>
      </w:pPr>
      <w:r>
        <w:rPr>
          <w:rFonts w:hint="eastAsia" w:ascii="仿宋" w:hAnsi="仿宋" w:eastAsia="仿宋" w:cs="仿宋"/>
          <w:b w:val="0"/>
          <w:bCs/>
          <w:sz w:val="32"/>
          <w:szCs w:val="32"/>
        </w:rPr>
        <w:t>新疆维吾尔自治区体育局</w:t>
      </w:r>
      <w:r>
        <w:rPr>
          <w:rFonts w:hint="eastAsia" w:ascii="仿宋" w:hAnsi="仿宋" w:eastAsia="仿宋" w:cs="仿宋"/>
          <w:b w:val="0"/>
          <w:bCs/>
          <w:sz w:val="32"/>
          <w:szCs w:val="32"/>
          <w:lang w:val="en-US" w:eastAsia="zh-CN"/>
        </w:rPr>
        <w:t>是自治区人民政府主管全区体育工作的职能部门，主要职责是：</w:t>
      </w:r>
    </w:p>
    <w:p w14:paraId="089C0FF5">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Style w:val="7"/>
          <w:rFonts w:hint="eastAsia" w:ascii="仿宋" w:hAnsi="仿宋" w:eastAsia="仿宋" w:cs="仿宋"/>
          <w:b w:val="0"/>
          <w:spacing w:val="-4"/>
          <w:sz w:val="32"/>
          <w:szCs w:val="32"/>
          <w:lang w:eastAsia="zh-CN"/>
        </w:rPr>
      </w:pPr>
      <w:r>
        <w:rPr>
          <w:rFonts w:hint="eastAsia" w:ascii="仿宋" w:hAnsi="仿宋" w:eastAsia="仿宋" w:cs="仿宋"/>
          <w:b w:val="0"/>
          <w:bCs/>
          <w:sz w:val="32"/>
          <w:szCs w:val="32"/>
        </w:rPr>
        <w:t>1.研究全区体育发展战略，协调区域性体育发展；负责推动多元化体育服务体系建设，推进体育公共服务和体育体制改革。</w:t>
      </w:r>
      <w:r>
        <w:rPr>
          <w:rFonts w:hint="eastAsia" w:ascii="仿宋" w:hAnsi="仿宋" w:eastAsia="仿宋" w:cs="仿宋"/>
          <w:b w:val="0"/>
          <w:bCs/>
          <w:sz w:val="32"/>
          <w:szCs w:val="32"/>
        </w:rPr>
        <w:br w:type="textWrapping"/>
      </w:r>
      <w:r>
        <w:rPr>
          <w:rFonts w:hint="eastAsia" w:ascii="仿宋" w:hAnsi="仿宋" w:eastAsia="仿宋" w:cs="仿宋"/>
          <w:b w:val="0"/>
          <w:bCs/>
          <w:sz w:val="32"/>
          <w:szCs w:val="32"/>
          <w:lang w:val="en-US" w:eastAsia="zh-CN"/>
        </w:rPr>
        <w:t xml:space="preserve">   </w:t>
      </w:r>
      <w:r>
        <w:rPr>
          <w:rFonts w:hint="eastAsia" w:ascii="仿宋" w:hAnsi="仿宋" w:eastAsia="仿宋" w:cs="仿宋"/>
          <w:b w:val="0"/>
          <w:bCs/>
          <w:sz w:val="32"/>
          <w:szCs w:val="32"/>
        </w:rPr>
        <w:t>2.拟订全区体育事业发展规划和政策，起草有关法规规章草案，经批准后督促实施。</w:t>
      </w:r>
      <w:r>
        <w:rPr>
          <w:rFonts w:hint="eastAsia" w:ascii="仿宋" w:hAnsi="仿宋" w:eastAsia="仿宋" w:cs="仿宋"/>
          <w:b w:val="0"/>
          <w:bCs/>
          <w:sz w:val="32"/>
          <w:szCs w:val="32"/>
        </w:rPr>
        <w:br w:type="textWrapping"/>
      </w:r>
      <w:r>
        <w:rPr>
          <w:rFonts w:hint="eastAsia" w:ascii="仿宋" w:hAnsi="仿宋" w:eastAsia="仿宋" w:cs="仿宋"/>
          <w:b w:val="0"/>
          <w:bCs/>
          <w:sz w:val="32"/>
          <w:szCs w:val="32"/>
          <w:lang w:val="en-US" w:eastAsia="zh-CN"/>
        </w:rPr>
        <w:t xml:space="preserve">   </w:t>
      </w:r>
      <w:r>
        <w:rPr>
          <w:rFonts w:hint="eastAsia" w:ascii="仿宋" w:hAnsi="仿宋" w:eastAsia="仿宋" w:cs="仿宋"/>
          <w:b w:val="0"/>
          <w:bCs/>
          <w:sz w:val="32"/>
          <w:szCs w:val="32"/>
        </w:rPr>
        <w:t>3.统筹规划全区群众体育发展，推行全民健身国家战略，推动全民健身场地建设，体育社会组织建设，社会体育指导员队伍建设和国民体质监测工作，推动全民健身与全民健康深度融合。</w:t>
      </w:r>
      <w:r>
        <w:rPr>
          <w:rFonts w:hint="eastAsia" w:ascii="仿宋" w:hAnsi="仿宋" w:eastAsia="仿宋" w:cs="仿宋"/>
          <w:b w:val="0"/>
          <w:bCs/>
          <w:sz w:val="32"/>
          <w:szCs w:val="32"/>
        </w:rPr>
        <w:br w:type="textWrapping"/>
      </w:r>
      <w:r>
        <w:rPr>
          <w:rFonts w:hint="eastAsia" w:ascii="仿宋" w:hAnsi="仿宋" w:eastAsia="仿宋" w:cs="仿宋"/>
          <w:b w:val="0"/>
          <w:bCs/>
          <w:sz w:val="32"/>
          <w:szCs w:val="32"/>
          <w:lang w:val="en-US" w:eastAsia="zh-CN"/>
        </w:rPr>
        <w:t xml:space="preserve">   </w:t>
      </w:r>
      <w:r>
        <w:rPr>
          <w:rFonts w:hint="eastAsia" w:ascii="仿宋" w:hAnsi="仿宋" w:eastAsia="仿宋" w:cs="仿宋"/>
          <w:b w:val="0"/>
          <w:bCs/>
          <w:sz w:val="32"/>
          <w:szCs w:val="32"/>
        </w:rPr>
        <w:t>4.统筹规划全区竞技体育发展，设置体育运动项目，指导协调体育训练和体育竞赛，承办和参加全国性的运动竞赛，指导运动队伍建设，协调运动员社会保障工作。</w:t>
      </w:r>
      <w:r>
        <w:rPr>
          <w:rFonts w:hint="eastAsia" w:ascii="仿宋" w:hAnsi="仿宋" w:eastAsia="仿宋" w:cs="仿宋"/>
          <w:b w:val="0"/>
          <w:bCs/>
          <w:sz w:val="32"/>
          <w:szCs w:val="32"/>
        </w:rPr>
        <w:cr/>
      </w:r>
      <w:r>
        <w:rPr>
          <w:rFonts w:hint="eastAsia" w:ascii="仿宋" w:hAnsi="仿宋" w:eastAsia="仿宋" w:cs="仿宋"/>
          <w:b w:val="0"/>
          <w:bCs/>
          <w:sz w:val="32"/>
          <w:szCs w:val="32"/>
          <w:lang w:val="en-US" w:eastAsia="zh-CN"/>
        </w:rPr>
        <w:t xml:space="preserve">   </w:t>
      </w:r>
      <w:r>
        <w:rPr>
          <w:rFonts w:hint="eastAsia" w:ascii="仿宋" w:hAnsi="仿宋" w:eastAsia="仿宋" w:cs="仿宋"/>
          <w:b w:val="0"/>
          <w:bCs/>
          <w:sz w:val="32"/>
          <w:szCs w:val="32"/>
        </w:rPr>
        <w:t>5.统筹规划全区青少年体育发展，指导和推进青少年体育工作。</w:t>
      </w:r>
      <w:r>
        <w:rPr>
          <w:rFonts w:hint="eastAsia" w:ascii="仿宋" w:hAnsi="仿宋" w:eastAsia="仿宋" w:cs="仿宋"/>
          <w:b w:val="0"/>
          <w:bCs/>
          <w:sz w:val="32"/>
          <w:szCs w:val="32"/>
        </w:rPr>
        <w:cr/>
      </w:r>
      <w:r>
        <w:rPr>
          <w:rFonts w:hint="eastAsia" w:ascii="仿宋" w:hAnsi="仿宋" w:eastAsia="仿宋" w:cs="仿宋"/>
          <w:b w:val="0"/>
          <w:bCs/>
          <w:sz w:val="32"/>
          <w:szCs w:val="32"/>
          <w:lang w:val="en-US" w:eastAsia="zh-CN"/>
        </w:rPr>
        <w:t xml:space="preserve">   </w:t>
      </w:r>
      <w:r>
        <w:rPr>
          <w:rFonts w:hint="eastAsia" w:ascii="仿宋" w:hAnsi="仿宋" w:eastAsia="仿宋" w:cs="仿宋"/>
          <w:b w:val="0"/>
          <w:bCs/>
          <w:sz w:val="32"/>
          <w:szCs w:val="32"/>
        </w:rPr>
        <w:t>6.拟订全区体育产业发展规划、政策，规范体育服务管理，推动体育标准化建设；负责体育彩票发行管理。</w:t>
      </w:r>
      <w:r>
        <w:rPr>
          <w:rFonts w:hint="eastAsia" w:ascii="仿宋" w:hAnsi="仿宋" w:eastAsia="仿宋" w:cs="仿宋"/>
          <w:b w:val="0"/>
          <w:bCs/>
          <w:sz w:val="32"/>
          <w:szCs w:val="32"/>
        </w:rPr>
        <w:cr/>
      </w:r>
      <w:r>
        <w:rPr>
          <w:rFonts w:hint="eastAsia" w:ascii="仿宋" w:hAnsi="仿宋" w:eastAsia="仿宋" w:cs="仿宋"/>
          <w:b w:val="0"/>
          <w:bCs/>
          <w:sz w:val="32"/>
          <w:szCs w:val="32"/>
          <w:lang w:val="en-US" w:eastAsia="zh-CN"/>
        </w:rPr>
        <w:t xml:space="preserve">   </w:t>
      </w:r>
      <w:r>
        <w:rPr>
          <w:rFonts w:hint="eastAsia" w:ascii="仿宋" w:hAnsi="仿宋" w:eastAsia="仿宋" w:cs="仿宋"/>
          <w:b w:val="0"/>
          <w:bCs/>
          <w:sz w:val="32"/>
          <w:szCs w:val="32"/>
        </w:rPr>
        <w:t>7.指导、管理全区体育外事有关工作，组织开展与国内外和港澳台的体育交流与合作，指导全区体育系统及民间体育交流活动，协调、指导、管理我区境内承办的国际性、商业性体育比赛和经批准开展的特殊体育经营活动。</w:t>
      </w:r>
      <w:r>
        <w:rPr>
          <w:rFonts w:hint="eastAsia" w:ascii="仿宋" w:hAnsi="仿宋" w:eastAsia="仿宋" w:cs="仿宋"/>
          <w:b w:val="0"/>
          <w:bCs/>
          <w:sz w:val="32"/>
          <w:szCs w:val="32"/>
        </w:rPr>
        <w:cr/>
      </w:r>
      <w:r>
        <w:rPr>
          <w:rFonts w:hint="eastAsia" w:ascii="仿宋" w:hAnsi="仿宋" w:eastAsia="仿宋" w:cs="仿宋"/>
          <w:b w:val="0"/>
          <w:bCs/>
          <w:sz w:val="32"/>
          <w:szCs w:val="32"/>
          <w:lang w:val="en-US" w:eastAsia="zh-CN"/>
        </w:rPr>
        <w:t xml:space="preserve">   </w:t>
      </w:r>
      <w:r>
        <w:rPr>
          <w:rFonts w:hint="eastAsia" w:ascii="仿宋" w:hAnsi="仿宋" w:eastAsia="仿宋" w:cs="仿宋"/>
          <w:b w:val="0"/>
          <w:bCs/>
          <w:sz w:val="32"/>
          <w:szCs w:val="32"/>
        </w:rPr>
        <w:t>8.组织开展体育领域重大科技研究、技术攻关和成果推广。</w:t>
      </w:r>
      <w:r>
        <w:rPr>
          <w:rFonts w:hint="eastAsia" w:ascii="仿宋" w:hAnsi="仿宋" w:eastAsia="仿宋" w:cs="仿宋"/>
          <w:b w:val="0"/>
          <w:bCs/>
          <w:sz w:val="32"/>
          <w:szCs w:val="32"/>
        </w:rPr>
        <w:cr/>
      </w:r>
      <w:r>
        <w:rPr>
          <w:rFonts w:hint="eastAsia" w:ascii="仿宋" w:hAnsi="仿宋" w:eastAsia="仿宋" w:cs="仿宋"/>
          <w:b w:val="0"/>
          <w:bCs/>
          <w:sz w:val="32"/>
          <w:szCs w:val="32"/>
          <w:lang w:val="en-US" w:eastAsia="zh-CN"/>
        </w:rPr>
        <w:t xml:space="preserve">   </w:t>
      </w:r>
      <w:r>
        <w:rPr>
          <w:rFonts w:hint="eastAsia" w:ascii="仿宋" w:hAnsi="仿宋" w:eastAsia="仿宋" w:cs="仿宋"/>
          <w:b w:val="0"/>
          <w:bCs/>
          <w:sz w:val="32"/>
          <w:szCs w:val="32"/>
        </w:rPr>
        <w:t>9.负责组织、协调、监督体育运动中的反兴奋剂工作。</w:t>
      </w:r>
      <w:r>
        <w:rPr>
          <w:rFonts w:hint="eastAsia" w:ascii="仿宋" w:hAnsi="仿宋" w:eastAsia="仿宋" w:cs="仿宋"/>
          <w:b w:val="0"/>
          <w:bCs/>
          <w:sz w:val="32"/>
          <w:szCs w:val="32"/>
        </w:rPr>
        <w:cr/>
      </w:r>
      <w:r>
        <w:rPr>
          <w:rFonts w:hint="eastAsia" w:ascii="仿宋" w:hAnsi="仿宋" w:eastAsia="仿宋" w:cs="仿宋"/>
          <w:b w:val="0"/>
          <w:bCs/>
          <w:sz w:val="32"/>
          <w:szCs w:val="32"/>
          <w:lang w:val="en-US" w:eastAsia="zh-CN"/>
        </w:rPr>
        <w:t xml:space="preserve">   </w:t>
      </w:r>
      <w:r>
        <w:rPr>
          <w:rFonts w:hint="eastAsia" w:ascii="仿宋" w:hAnsi="仿宋" w:eastAsia="仿宋" w:cs="仿宋"/>
          <w:b w:val="0"/>
          <w:bCs/>
          <w:sz w:val="32"/>
          <w:szCs w:val="32"/>
        </w:rPr>
        <w:t>10.承办自治区人民政府交办的其他事项</w:t>
      </w:r>
      <w:r>
        <w:rPr>
          <w:rStyle w:val="7"/>
          <w:rFonts w:hint="eastAsia" w:ascii="仿宋" w:hAnsi="仿宋" w:eastAsia="仿宋" w:cs="仿宋"/>
          <w:b w:val="0"/>
          <w:spacing w:val="-4"/>
          <w:sz w:val="32"/>
          <w:szCs w:val="32"/>
          <w:lang w:eastAsia="zh-CN"/>
        </w:rPr>
        <w:t>。</w:t>
      </w:r>
    </w:p>
    <w:p w14:paraId="2469B17B">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纳入自治区体育局部门预算的单位包括：自治区体育局本级及12家直属事业单位。自治区体育局本级下设6个处室，分别是：办公室、群众体育处、竞技体育处、青少年体育处、体育经济处、政策法规与科教宣传处，1个职能部门（机关党委、人事处、机关纪委、离退休干部处）。12家直属事业单位包括：自治区体育局体育训练一大队、自治区体育局体育训练二大队、自治区体育局摔跤柔道运动管理中心、自治区体育局拳击运动管理中心、自治区体育局足球运动管理中心、新疆体育职业技术学院、自治区体育局跆拳道武术气功管理中心、自治区体育局机关服务中心、自治区体育中心、自治区登山运动</w:t>
      </w:r>
      <w:r>
        <w:rPr>
          <w:rFonts w:hint="eastAsia" w:ascii="仿宋" w:hAnsi="仿宋" w:eastAsia="仿宋" w:cs="仿宋"/>
          <w:b w:val="0"/>
          <w:bCs/>
          <w:sz w:val="32"/>
          <w:szCs w:val="32"/>
          <w:lang w:val="en-US" w:eastAsia="zh-CN"/>
        </w:rPr>
        <w:t>服务</w:t>
      </w:r>
      <w:r>
        <w:rPr>
          <w:rFonts w:hint="eastAsia" w:ascii="仿宋" w:hAnsi="仿宋" w:eastAsia="仿宋" w:cs="仿宋"/>
          <w:b w:val="0"/>
          <w:bCs/>
          <w:sz w:val="32"/>
          <w:szCs w:val="32"/>
        </w:rPr>
        <w:t>中心、自治区体育局冬季运动管理中心、自治区体育局体育产业发展中心。</w:t>
      </w:r>
    </w:p>
    <w:p w14:paraId="56A83DF3">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 w:hAnsi="仿宋" w:eastAsia="仿宋" w:cs="仿宋"/>
          <w:b w:val="0"/>
          <w:bCs/>
          <w:sz w:val="32"/>
          <w:szCs w:val="32"/>
          <w:highlight w:val="none"/>
          <w:lang w:eastAsia="zh-CN"/>
        </w:rPr>
      </w:pPr>
      <w:r>
        <w:rPr>
          <w:rFonts w:hint="eastAsia" w:ascii="仿宋" w:hAnsi="仿宋" w:eastAsia="仿宋" w:cs="仿宋"/>
          <w:b w:val="0"/>
          <w:bCs/>
          <w:sz w:val="32"/>
          <w:szCs w:val="32"/>
        </w:rPr>
        <w:t>自治区体育局编制</w:t>
      </w:r>
      <w:r>
        <w:rPr>
          <w:rFonts w:hint="eastAsia" w:ascii="仿宋" w:hAnsi="仿宋" w:eastAsia="仿宋" w:cs="仿宋"/>
          <w:b w:val="0"/>
          <w:bCs/>
          <w:sz w:val="32"/>
          <w:szCs w:val="32"/>
          <w:highlight w:val="none"/>
        </w:rPr>
        <w:t>数104</w:t>
      </w:r>
      <w:r>
        <w:rPr>
          <w:rFonts w:hint="eastAsia" w:ascii="仿宋" w:hAnsi="仿宋" w:eastAsia="仿宋" w:cs="仿宋"/>
          <w:b w:val="0"/>
          <w:bCs/>
          <w:sz w:val="32"/>
          <w:szCs w:val="32"/>
          <w:highlight w:val="none"/>
          <w:lang w:val="en-US" w:eastAsia="zh-CN"/>
        </w:rPr>
        <w:t>2</w:t>
      </w:r>
      <w:r>
        <w:rPr>
          <w:rFonts w:hint="eastAsia" w:ascii="仿宋" w:hAnsi="仿宋" w:eastAsia="仿宋" w:cs="仿宋"/>
          <w:b w:val="0"/>
          <w:bCs/>
          <w:sz w:val="32"/>
          <w:szCs w:val="32"/>
          <w:highlight w:val="none"/>
        </w:rPr>
        <w:t>，实有人数12</w:t>
      </w:r>
      <w:r>
        <w:rPr>
          <w:rFonts w:hint="eastAsia" w:ascii="仿宋" w:hAnsi="仿宋" w:eastAsia="仿宋" w:cs="仿宋"/>
          <w:b w:val="0"/>
          <w:bCs/>
          <w:sz w:val="32"/>
          <w:szCs w:val="32"/>
          <w:highlight w:val="none"/>
          <w:lang w:val="en-US" w:eastAsia="zh-CN"/>
        </w:rPr>
        <w:t>34</w:t>
      </w:r>
      <w:r>
        <w:rPr>
          <w:rFonts w:hint="eastAsia" w:ascii="仿宋" w:hAnsi="仿宋" w:eastAsia="仿宋" w:cs="仿宋"/>
          <w:b w:val="0"/>
          <w:bCs/>
          <w:sz w:val="32"/>
          <w:szCs w:val="32"/>
          <w:highlight w:val="none"/>
        </w:rPr>
        <w:t>人，其中：在职7</w:t>
      </w:r>
      <w:r>
        <w:rPr>
          <w:rFonts w:hint="eastAsia" w:ascii="仿宋" w:hAnsi="仿宋" w:eastAsia="仿宋" w:cs="仿宋"/>
          <w:b w:val="0"/>
          <w:bCs/>
          <w:sz w:val="32"/>
          <w:szCs w:val="32"/>
          <w:highlight w:val="none"/>
          <w:lang w:val="en-US" w:eastAsia="zh-CN"/>
        </w:rPr>
        <w:t>4</w:t>
      </w:r>
      <w:r>
        <w:rPr>
          <w:rFonts w:hint="eastAsia" w:ascii="仿宋" w:hAnsi="仿宋" w:eastAsia="仿宋" w:cs="仿宋"/>
          <w:b w:val="0"/>
          <w:bCs/>
          <w:sz w:val="32"/>
          <w:szCs w:val="32"/>
          <w:highlight w:val="none"/>
        </w:rPr>
        <w:t>2人，退休49</w:t>
      </w:r>
      <w:r>
        <w:rPr>
          <w:rFonts w:hint="eastAsia" w:ascii="仿宋" w:hAnsi="仿宋" w:eastAsia="仿宋" w:cs="仿宋"/>
          <w:b w:val="0"/>
          <w:bCs/>
          <w:sz w:val="32"/>
          <w:szCs w:val="32"/>
          <w:highlight w:val="none"/>
          <w:lang w:val="en-US" w:eastAsia="zh-CN"/>
        </w:rPr>
        <w:t>1</w:t>
      </w:r>
      <w:r>
        <w:rPr>
          <w:rFonts w:hint="eastAsia" w:ascii="仿宋" w:hAnsi="仿宋" w:eastAsia="仿宋" w:cs="仿宋"/>
          <w:b w:val="0"/>
          <w:bCs/>
          <w:sz w:val="32"/>
          <w:szCs w:val="32"/>
          <w:highlight w:val="none"/>
        </w:rPr>
        <w:t>人，离休</w:t>
      </w:r>
      <w:r>
        <w:rPr>
          <w:rFonts w:hint="eastAsia" w:ascii="仿宋" w:hAnsi="仿宋" w:eastAsia="仿宋" w:cs="仿宋"/>
          <w:b w:val="0"/>
          <w:bCs/>
          <w:sz w:val="32"/>
          <w:szCs w:val="32"/>
          <w:highlight w:val="none"/>
          <w:lang w:val="en-US" w:eastAsia="zh-CN"/>
        </w:rPr>
        <w:t>1</w:t>
      </w:r>
      <w:r>
        <w:rPr>
          <w:rFonts w:hint="eastAsia" w:ascii="仿宋" w:hAnsi="仿宋" w:eastAsia="仿宋" w:cs="仿宋"/>
          <w:b w:val="0"/>
          <w:bCs/>
          <w:sz w:val="32"/>
          <w:szCs w:val="32"/>
          <w:highlight w:val="none"/>
        </w:rPr>
        <w:t>人</w:t>
      </w:r>
      <w:r>
        <w:rPr>
          <w:rFonts w:hint="eastAsia" w:ascii="仿宋" w:hAnsi="仿宋" w:eastAsia="仿宋" w:cs="仿宋"/>
          <w:b w:val="0"/>
          <w:bCs/>
          <w:sz w:val="32"/>
          <w:szCs w:val="32"/>
          <w:highlight w:val="none"/>
          <w:lang w:eastAsia="zh-CN"/>
        </w:rPr>
        <w:t>。</w:t>
      </w:r>
    </w:p>
    <w:p w14:paraId="7ED25375">
      <w:pPr>
        <w:spacing w:line="540" w:lineRule="exact"/>
        <w:ind w:firstLine="567" w:firstLineChars="181"/>
        <w:rPr>
          <w:rStyle w:val="7"/>
          <w:rFonts w:hint="eastAsia" w:ascii="楷体" w:hAnsi="楷体" w:eastAsia="楷体" w:cs="楷体"/>
          <w:b/>
          <w:bCs w:val="0"/>
          <w:spacing w:val="-4"/>
          <w:sz w:val="32"/>
          <w:szCs w:val="32"/>
          <w:highlight w:val="none"/>
          <w:lang w:val="en-US" w:eastAsia="zh-CN"/>
        </w:rPr>
      </w:pPr>
      <w:r>
        <w:rPr>
          <w:rStyle w:val="7"/>
          <w:rFonts w:hint="eastAsia" w:ascii="楷体" w:hAnsi="楷体" w:eastAsia="楷体" w:cs="楷体"/>
          <w:b/>
          <w:bCs w:val="0"/>
          <w:spacing w:val="-4"/>
          <w:sz w:val="32"/>
          <w:szCs w:val="32"/>
          <w:highlight w:val="none"/>
          <w:lang w:val="en-US" w:eastAsia="zh-CN"/>
        </w:rPr>
        <w:t>(二)部门单位年度重点工作</w:t>
      </w:r>
    </w:p>
    <w:p w14:paraId="0051E3D0">
      <w:pPr>
        <w:spacing w:line="540" w:lineRule="exact"/>
        <w:ind w:firstLine="581" w:firstLineChars="181"/>
        <w:rPr>
          <w:rFonts w:hint="eastAsia" w:ascii="仿宋" w:hAnsi="仿宋" w:eastAsia="仿宋" w:cs="仿宋"/>
          <w:b/>
          <w:bCs/>
          <w:sz w:val="32"/>
          <w:szCs w:val="32"/>
        </w:rPr>
      </w:pPr>
      <w:r>
        <w:rPr>
          <w:rFonts w:hint="eastAsia" w:ascii="仿宋" w:hAnsi="仿宋" w:eastAsia="仿宋" w:cs="仿宋"/>
          <w:b/>
          <w:bCs/>
          <w:sz w:val="32"/>
          <w:szCs w:val="32"/>
        </w:rPr>
        <w:t>1.统筹加快体育强区建设</w:t>
      </w:r>
    </w:p>
    <w:p w14:paraId="1328BD91">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（1）紧紧围绕体育强国、体育强区建设目标任务，加强调查研究，摸清底数，认真分析研究，不断探索体育强区建设的总体思路、实施路径、重大举措，研究制定新疆体育强区建设的综合评价指标。</w:t>
      </w:r>
    </w:p>
    <w:p w14:paraId="491C6D31">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2）深入学习贯彻新发展理念，坚决走出体育发展不平衡不充分的结构性困境，坚决纠正“金牌至上”“锦标主义”错误政绩观，树牢以人民为中心的发展理念，构建群众体育、竞技体育、青少年体育、体育产业等高质量发展的新格局。</w:t>
      </w:r>
    </w:p>
    <w:p w14:paraId="72013952">
      <w:pPr>
        <w:spacing w:line="540" w:lineRule="exact"/>
        <w:ind w:firstLine="581" w:firstLineChars="181"/>
        <w:rPr>
          <w:rFonts w:hint="eastAsia" w:ascii="仿宋" w:hAnsi="仿宋" w:eastAsia="仿宋" w:cs="仿宋"/>
          <w:b/>
          <w:bCs/>
          <w:sz w:val="32"/>
          <w:szCs w:val="32"/>
        </w:rPr>
      </w:pPr>
      <w:r>
        <w:rPr>
          <w:rFonts w:hint="eastAsia" w:ascii="仿宋" w:hAnsi="仿宋" w:eastAsia="仿宋" w:cs="仿宋"/>
          <w:b/>
          <w:bCs/>
          <w:sz w:val="32"/>
          <w:szCs w:val="32"/>
        </w:rPr>
        <w:t>2.构建完善的全民健身公共服务体系</w:t>
      </w:r>
    </w:p>
    <w:p w14:paraId="651FD7BD">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（3）对体育场地设施进一步摸排，研究制定工作方案，提出体育场所建设的项目清单，明确具体举措、完成时限。</w:t>
      </w:r>
    </w:p>
    <w:p w14:paraId="6975C3F9">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（4）积极争取项目资金支持，加快体育场馆、社会足球场、体育公园等基础设施建设，尤其是没有体育场馆的地州、县市，今明两年要拿出具体措施，确保有进展、有突破。</w:t>
      </w:r>
    </w:p>
    <w:p w14:paraId="157D1589">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（5）积极研究体育场馆全面开放的有效措施，提高使用效率，防止闲置浪费。加大体育惠民力度，持续推进公共体育场地低收费或免费开放。</w:t>
      </w:r>
    </w:p>
    <w:p w14:paraId="59CA1E5A">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6）持续开展“村超”“村BA”“村排”“社区运动会”等全民健身活动，拓展群众的参与度，扩大活动影响力，形成品牌效应。继续办好“援疆杯”“兵地杯”系列赛事活动，努力打造促进省市交流、兵地融合的品牌赛事。</w:t>
      </w:r>
    </w:p>
    <w:p w14:paraId="164058B6">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（7）组织参赛第十二届全国少数民族传统体育运动会，伊犁昭苏承办好马术项目比赛，力争取得优异成绩。积极筹办好新疆智力运动会。</w:t>
      </w:r>
    </w:p>
    <w:p w14:paraId="239F34A7">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（8）以县市为重点，扩大对三级社会体育指导员的招募和培训规模,尤其是加大对南疆各地州女性社会体育指导员的培训力度，不断完善城乡体育公共服务体系。</w:t>
      </w:r>
    </w:p>
    <w:p w14:paraId="0B9F2A7B">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（9）大力开展科学健身指导服务工作，提高全民科学健身素养。乌鲁木齐、阿勒泰、喀什要认真组织开展“国民体质测试与健身指导站点”试点工作。</w:t>
      </w:r>
    </w:p>
    <w:p w14:paraId="25B93811">
      <w:pPr>
        <w:spacing w:line="540" w:lineRule="exact"/>
        <w:ind w:firstLine="581" w:firstLineChars="181"/>
        <w:rPr>
          <w:rFonts w:hint="eastAsia" w:ascii="仿宋" w:hAnsi="仿宋" w:eastAsia="仿宋" w:cs="仿宋"/>
          <w:b/>
          <w:bCs/>
          <w:sz w:val="32"/>
          <w:szCs w:val="32"/>
        </w:rPr>
      </w:pPr>
      <w:r>
        <w:rPr>
          <w:rFonts w:hint="eastAsia" w:ascii="仿宋" w:hAnsi="仿宋" w:eastAsia="仿宋" w:cs="仿宋"/>
          <w:b/>
          <w:bCs/>
          <w:sz w:val="32"/>
          <w:szCs w:val="32"/>
        </w:rPr>
        <w:t>3.不断提升竞技体育综合实力</w:t>
      </w:r>
    </w:p>
    <w:p w14:paraId="0B2F2573">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（10）在摔跤、拳击、跆拳道、马术、冰雪等传统优势项目方面，加大优秀人才的选拔培养和引进力度，从国内外聘请高水平教练员执教，保持高频率参加高水平赛事，健全科技保障体系，提高核心竞争力。</w:t>
      </w:r>
    </w:p>
    <w:p w14:paraId="5F447307">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（11）对射击、射箭、田径等潜优势项目，加大梯队和重点人才的选拔培养。推动夏季项目和冬季项目均衡发展。</w:t>
      </w:r>
    </w:p>
    <w:p w14:paraId="5F660565">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（12）继续加大对广汇男篮、天山女篮职业俱乐部的支持力度，引导俱乐部在新疆建立完整的青少年后备人才梯队。</w:t>
      </w:r>
    </w:p>
    <w:p w14:paraId="32B079E8">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（13）巩固保持沙滩排球的国际竞争力，同时做好室内排球的组队工作，在有关院校建立排球高水平训练基地,联合组建队伍。</w:t>
      </w:r>
    </w:p>
    <w:p w14:paraId="4CAAB431">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14）乌鲁木齐加快打造国际冰上训练基地，筹办好自治区第二届冬季运动会;阿勒泰加快打造国际雪上训练基地，成立冰雪学院。重点抓好“两冰三雪”(两冰:速度滑冰、短道速滑;三雪:越野滑雪、高山滑雪、滑雪登山)专业队伍建设，提高争金夺银能力。</w:t>
      </w:r>
    </w:p>
    <w:p w14:paraId="012DAF49">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（15）按照自治区冬季项目布局，积极争取教育部门支持，在中小学校开展速度滑冰、越野滑雪、高山滑雪等重点项目，逐步开展冰球、冰壶、花样滑冰等项目，构建四级联动的后备人才培养体系。</w:t>
      </w:r>
    </w:p>
    <w:p w14:paraId="7E41C02F">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（16）利用寒暑假定期举办冰雪联赛，不断提升冰雪竞技水平。聚焦巴黎奥运会、大湾区全运会为重点，全力做好备战参赛工作，力争为祖国争光、为新疆添彩。</w:t>
      </w:r>
    </w:p>
    <w:p w14:paraId="3275834A">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（17）狠抓赛风赛纪和反兴奋剂工作，加大赛风赛纪教育力度，树牢公平竞赛、纯洁体育的思想意识。严格运动员食品、药品和营养品管控，落实运动员行踪信息管理制度，确保赛风赛纪和</w:t>
      </w:r>
      <w:r>
        <w:rPr>
          <w:rFonts w:hint="eastAsia" w:ascii="仿宋" w:hAnsi="仿宋" w:eastAsia="仿宋" w:cs="仿宋"/>
          <w:sz w:val="32"/>
          <w:szCs w:val="32"/>
          <w:lang w:val="en-US" w:eastAsia="zh-CN"/>
        </w:rPr>
        <w:t>兴奋剂</w:t>
      </w:r>
      <w:r>
        <w:rPr>
          <w:rFonts w:hint="eastAsia" w:ascii="仿宋" w:hAnsi="仿宋" w:eastAsia="仿宋" w:cs="仿宋"/>
          <w:sz w:val="32"/>
          <w:szCs w:val="32"/>
        </w:rPr>
        <w:t>问题“零出现”。</w:t>
      </w:r>
    </w:p>
    <w:p w14:paraId="4617409C">
      <w:pPr>
        <w:spacing w:line="540" w:lineRule="exact"/>
        <w:ind w:firstLine="581" w:firstLineChars="181"/>
        <w:rPr>
          <w:rFonts w:hint="eastAsia" w:ascii="仿宋" w:hAnsi="仿宋" w:eastAsia="仿宋" w:cs="仿宋"/>
          <w:b/>
          <w:bCs/>
          <w:sz w:val="32"/>
          <w:szCs w:val="32"/>
        </w:rPr>
      </w:pPr>
      <w:r>
        <w:rPr>
          <w:rFonts w:hint="eastAsia" w:ascii="仿宋" w:hAnsi="仿宋" w:eastAsia="仿宋" w:cs="仿宋"/>
          <w:b/>
          <w:bCs/>
          <w:sz w:val="32"/>
          <w:szCs w:val="32"/>
        </w:rPr>
        <w:t>4.不断夯实青少年体育发展基础</w:t>
      </w:r>
    </w:p>
    <w:p w14:paraId="37F04EB1">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（18）积极探索研究体教融合更多新路径，推动解决体教融合堵点、难点，建立教育、体育部门协调联动的长效工作机制。</w:t>
      </w:r>
    </w:p>
    <w:p w14:paraId="45E36263">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19）落实《新疆维吾尔自治区自主择业退役运动员实行经济补偿暂行办法》，加大政策协调力度，采取“一统三单”(统一招考、单列名额、单列划线、单独录取)的方式，千方百计配齐配足体育师资力量;推动优秀退役运动员、教练员转型为体育教师。</w:t>
      </w:r>
    </w:p>
    <w:p w14:paraId="2C7F0D77">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（20）落实国家、自治区《关于深化体教融合 促进青少年健康发展的意见》，面向全体学生，开齐开足体育课，每年举办1-2次运动会，帮助学生在体育锻炼中享受乐趣、增强体质、健全人格、锤炼意志。</w:t>
      </w:r>
    </w:p>
    <w:p w14:paraId="0530F80A">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（21）伊犁州、喀什地区加快推进2个足球青训中心建设，会同教育厅认真研究，推动在伊犁师范大学、喀什大学成立足球学院，把两所高校打造成为新疆足球发展的重要基地。</w:t>
      </w:r>
    </w:p>
    <w:p w14:paraId="075B9379">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22）围绕自治区体育重点发展项目，加强传统特色体育学校布局。根据青少年体育后备体育人才培养规律，探索依托传统特色体育学校，建立由小学、初中、高中组成的体育后备人才对口升学培养体系，探索体育特长学生灵活学籍、激励保障等制度，为优秀体育后备人才跨区域培养创造条件。</w:t>
      </w:r>
    </w:p>
    <w:p w14:paraId="6498D7FB">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23）以推进“奔跑吧·少年”为主题，整合青少年体育赛事，探索建立覆盖从U8至U18各年龄段、覆盖重点项目的赛事体系。引导和支持社会力量参与体育后备人才培养工作，加快构建学校、体校、俱乐部资源共享、协同育人的青训体系。</w:t>
      </w:r>
    </w:p>
    <w:p w14:paraId="19002DAE">
      <w:pPr>
        <w:spacing w:line="540" w:lineRule="exact"/>
        <w:ind w:firstLine="581" w:firstLineChars="181"/>
        <w:rPr>
          <w:rFonts w:hint="eastAsia" w:ascii="仿宋" w:hAnsi="仿宋" w:eastAsia="仿宋" w:cs="仿宋"/>
          <w:b/>
          <w:bCs/>
          <w:sz w:val="32"/>
          <w:szCs w:val="32"/>
        </w:rPr>
      </w:pPr>
      <w:r>
        <w:rPr>
          <w:rFonts w:hint="eastAsia" w:ascii="仿宋" w:hAnsi="仿宋" w:eastAsia="仿宋" w:cs="仿宋"/>
          <w:b/>
          <w:bCs/>
          <w:sz w:val="32"/>
          <w:szCs w:val="32"/>
        </w:rPr>
        <w:t>5.加快推进体育产业健康发展</w:t>
      </w:r>
    </w:p>
    <w:p w14:paraId="1974831D">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（24）坚持体育、文旅、商务融合发展思路，全面落实《以体育赛事为契机 促进体育旅游消费的实施意见》文件精神，积极举办各类体育赛事活动，激发消费潜力，培育新的经济增长点。</w:t>
      </w:r>
    </w:p>
    <w:p w14:paraId="3AE32905">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（25）支持社会力量，采取市场化运作方式，更多引进FWT(自由式滑雪)等国际化的品牌赛事。积极争取大型国际国内赛事活动落户新疆。</w:t>
      </w:r>
    </w:p>
    <w:p w14:paraId="1A423A19">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（26）全面落实《关于进一步破解瓶颈制约推动自治区冰雪运动和冰雪旅游高质量发展行动方案》，积极打造以文化引领、运动赋能、装备协同、服务支撑的高标准冰雪产业体系。</w:t>
      </w:r>
    </w:p>
    <w:p w14:paraId="4F22AF58">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27）大力支持环塔拉力赛国际集结赛、环准分站赛等系列活动，力争将拉力赛办成具有国际影响力的顶尖品牌赛事。组织办好环赛里木湖公路自行车赛、环艾丁湖摩托车赛等户外赛事活动，邀请更多国际选手参赛，共同打造具有一定国际影响力的精品赛事。</w:t>
      </w:r>
    </w:p>
    <w:p w14:paraId="5C364DFD">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28）大力发展户外运动，精心组织筹办好中国新疆户外运动大会。策划具有新疆特色的马拉松赛事品牌。积极探索开展徒步、骑行、登山、攀岩、漂流、探险、露营等户外活动，加强基础设施建设，提升配套服务综合能力。</w:t>
      </w:r>
    </w:p>
    <w:p w14:paraId="45D84D0A">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（29）加强部门协同联动，打造推出一批体育旅游精品赛事、精品线路、精品景区，把新疆打造成为跟着赛事去旅游的重要目的地。</w:t>
      </w:r>
    </w:p>
    <w:p w14:paraId="2D88E79C">
      <w:pPr>
        <w:spacing w:line="540" w:lineRule="exact"/>
        <w:ind w:firstLine="581" w:firstLineChars="181"/>
        <w:rPr>
          <w:rFonts w:hint="eastAsia" w:ascii="仿宋" w:hAnsi="仿宋" w:eastAsia="仿宋" w:cs="仿宋"/>
          <w:b/>
          <w:bCs/>
          <w:sz w:val="32"/>
          <w:szCs w:val="32"/>
        </w:rPr>
      </w:pPr>
      <w:r>
        <w:rPr>
          <w:rFonts w:hint="eastAsia" w:ascii="仿宋" w:hAnsi="仿宋" w:eastAsia="仿宋" w:cs="仿宋"/>
          <w:b/>
          <w:bCs/>
          <w:sz w:val="32"/>
          <w:szCs w:val="32"/>
        </w:rPr>
        <w:t>6.不断强化体育人才队伍建设</w:t>
      </w:r>
    </w:p>
    <w:p w14:paraId="73E08C2B">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（30）积极推动自治区有关高校开设体育专业，优化专业设置，增设体育硕士点。按照本科院校的设置标准要求，研究推动新疆体职院专升本各项工作。</w:t>
      </w:r>
    </w:p>
    <w:p w14:paraId="4FDD0A0E">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31）加强各级体校建设，推动传统体校转型发展。积极争取国家支持，用好援疆优势资源，加强与国内高校、援疆省市的交流合作、联合培养，研究制定引进培养高水平教练员、运动员的激励政策。培养壮大裁判员队伍，支持和推荐本土裁判员参与执裁国际国内大型赛事，提高执裁能力和水平。</w:t>
      </w:r>
    </w:p>
    <w:p w14:paraId="7B013526">
      <w:pPr>
        <w:spacing w:line="540" w:lineRule="exact"/>
        <w:ind w:firstLine="581" w:firstLineChars="181"/>
        <w:rPr>
          <w:rFonts w:hint="eastAsia" w:ascii="仿宋" w:hAnsi="仿宋" w:eastAsia="仿宋" w:cs="仿宋"/>
          <w:b/>
          <w:bCs/>
          <w:sz w:val="32"/>
          <w:szCs w:val="32"/>
        </w:rPr>
      </w:pPr>
      <w:r>
        <w:rPr>
          <w:rFonts w:hint="eastAsia" w:ascii="仿宋" w:hAnsi="仿宋" w:eastAsia="仿宋" w:cs="仿宋"/>
          <w:b/>
          <w:bCs/>
          <w:sz w:val="32"/>
          <w:szCs w:val="32"/>
        </w:rPr>
        <w:t>7.扩大体育对外交流合作</w:t>
      </w:r>
    </w:p>
    <w:p w14:paraId="3E50AAD9">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（32）重点巩固与中亚国家体育交流的基本盘，加强与俄罗斯、蒙古等国家的交流，逐步拓展与西亚、南亚、中东、欧洲等国家的交流。</w:t>
      </w:r>
    </w:p>
    <w:p w14:paraId="26FB8F08">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（33）继续举办环阿尔泰山冬季运动会等大型赛事，吸引更多外国选手来疆参赛，加强与这些国家在人才培养、资源共享、科技赋能等方面加强合作。</w:t>
      </w:r>
    </w:p>
    <w:p w14:paraId="3C214EA5">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（34）积极组团参加周边国家的体育赛事活动，了解周边国家体育资源，探索引进高水平的教练员、运动员。积极学习借鉴这些国家优势项目始终保持国际领先的经验做法,提升我区竞技水平。</w:t>
      </w:r>
    </w:p>
    <w:p w14:paraId="68031983">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（35）利用参赛、合作机会，讲好中国新疆故事，展示各族运动员团结奋进、积极向上的良好风貌，展现新疆开放自信、充满活力的良好形象。</w:t>
      </w:r>
    </w:p>
    <w:p w14:paraId="594C81A6">
      <w:pPr>
        <w:spacing w:line="540" w:lineRule="exact"/>
        <w:ind w:firstLine="581" w:firstLineChars="181"/>
        <w:rPr>
          <w:rFonts w:hint="eastAsia" w:ascii="仿宋" w:hAnsi="仿宋" w:eastAsia="仿宋" w:cs="仿宋"/>
          <w:b/>
          <w:bCs/>
          <w:sz w:val="32"/>
          <w:szCs w:val="32"/>
        </w:rPr>
      </w:pPr>
      <w:r>
        <w:rPr>
          <w:rFonts w:hint="eastAsia" w:ascii="仿宋" w:hAnsi="仿宋" w:eastAsia="仿宋" w:cs="仿宋"/>
          <w:b/>
          <w:bCs/>
          <w:sz w:val="32"/>
          <w:szCs w:val="32"/>
        </w:rPr>
        <w:t>8.其他工作</w:t>
      </w:r>
    </w:p>
    <w:p w14:paraId="590FE819">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（36）以机构改革为契机，统筹抓好体育主管部门、体育事业单位、体育社会组织改革，构建职能明确、管理顺畅、协同高效的体育管理机制体制。</w:t>
      </w:r>
    </w:p>
    <w:p w14:paraId="7E8B0ED3">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（37）稳妥推进体育协会改革，围绕协会党建、人员管理、决策机制、行业安全等重点领域，坚持先立后破、稳中求进，强化体育行业协会党的建设，切实发挥行业协会自律作用，规范行业发展。</w:t>
      </w:r>
    </w:p>
    <w:p w14:paraId="6CD3900E">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（38）认真落实全面从严治党要求，持续加强纪律作风建设，深入开展行风行纪和赛风赛纪问题治理，净化体育政治生态。</w:t>
      </w:r>
    </w:p>
    <w:p w14:paraId="629069B1">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（39）全面推动《体育法》贯彻实施，做好《新疆维吾尔自治区体育发展条例》修订工作，为完善我区体育治理体系、提升治理能力提供制度支撑。</w:t>
      </w:r>
    </w:p>
    <w:p w14:paraId="5BAA3607">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（40）不断加强体育管理人才的培养，对体育管理干部进行轮训，着力提升政策理论、专业知识、综合管理等方面的能力和水平。</w:t>
      </w:r>
    </w:p>
    <w:p w14:paraId="6BE9551B">
      <w:pPr>
        <w:spacing w:line="540" w:lineRule="exact"/>
        <w:ind w:firstLine="579" w:firstLineChars="181"/>
        <w:rPr>
          <w:rFonts w:hint="eastAsia" w:ascii="仿宋" w:hAnsi="仿宋" w:eastAsia="仿宋" w:cs="仿宋"/>
          <w:sz w:val="32"/>
          <w:szCs w:val="32"/>
        </w:rPr>
      </w:pPr>
      <w:r>
        <w:rPr>
          <w:rFonts w:hint="eastAsia" w:ascii="仿宋" w:hAnsi="仿宋" w:eastAsia="仿宋" w:cs="仿宋"/>
          <w:sz w:val="32"/>
          <w:szCs w:val="32"/>
        </w:rPr>
        <w:t>（41）牢固树立安全发展理念，重点围绕体育场馆、赛事活动、航空体育、运动学校、枪弹管理、群众性体育赛事以及特种装备等方面开展大排查大整治，及时发现、坚决消除各种安全风险隐患。</w:t>
      </w:r>
    </w:p>
    <w:p w14:paraId="54E15B56">
      <w:pPr>
        <w:spacing w:line="540" w:lineRule="exact"/>
        <w:ind w:firstLine="579" w:firstLineChars="181"/>
        <w:rPr>
          <w:rFonts w:hint="default" w:ascii="Times New Roman" w:hAnsi="Times New Roman" w:eastAsia="方正仿宋_GBK" w:cs="Times New Roman"/>
          <w:sz w:val="32"/>
          <w:szCs w:val="32"/>
        </w:rPr>
      </w:pPr>
      <w:r>
        <w:rPr>
          <w:rFonts w:hint="eastAsia" w:ascii="仿宋" w:hAnsi="仿宋" w:eastAsia="仿宋" w:cs="仿宋"/>
          <w:sz w:val="32"/>
          <w:szCs w:val="32"/>
        </w:rPr>
        <w:t>（42）积极做好党建工作、体育宣传、体育文化、老年体育、体育科研和信访化解等各项工作。</w:t>
      </w:r>
    </w:p>
    <w:p w14:paraId="51338741">
      <w:pPr>
        <w:spacing w:line="540" w:lineRule="exact"/>
        <w:ind w:firstLine="567" w:firstLineChars="181"/>
        <w:rPr>
          <w:rStyle w:val="7"/>
          <w:rFonts w:hint="default" w:ascii="楷体" w:hAnsi="楷体" w:eastAsia="楷体" w:cs="楷体"/>
          <w:b/>
          <w:bCs w:val="0"/>
          <w:spacing w:val="-4"/>
          <w:sz w:val="32"/>
          <w:szCs w:val="32"/>
          <w:lang w:val="en-US" w:eastAsia="zh-CN"/>
        </w:rPr>
      </w:pPr>
      <w:r>
        <w:rPr>
          <w:rStyle w:val="7"/>
          <w:rFonts w:hint="eastAsia" w:ascii="楷体" w:hAnsi="楷体" w:eastAsia="楷体" w:cs="楷体"/>
          <w:b/>
          <w:bCs w:val="0"/>
          <w:spacing w:val="-4"/>
          <w:sz w:val="32"/>
          <w:szCs w:val="32"/>
          <w:lang w:val="en-US" w:eastAsia="zh-CN"/>
        </w:rPr>
        <w:t>(三)部门单位整体预算规模及安排情况</w:t>
      </w:r>
    </w:p>
    <w:p w14:paraId="2CABC2AC">
      <w:pPr>
        <w:spacing w:line="540" w:lineRule="exact"/>
        <w:ind w:firstLine="579" w:firstLineChars="181"/>
        <w:rPr>
          <w:rFonts w:hint="eastAsia" w:ascii="Times New Roman" w:hAnsi="Times New Roman" w:eastAsia="方正仿宋_GBK" w:cs="Times New Roman"/>
          <w:sz w:val="32"/>
          <w:szCs w:val="32"/>
          <w:lang w:val="en-US" w:eastAsia="zh-CN"/>
        </w:rPr>
      </w:pPr>
      <w:r>
        <w:rPr>
          <w:rFonts w:hint="eastAsia" w:ascii="仿宋" w:hAnsi="仿宋" w:eastAsia="仿宋" w:cs="仿宋"/>
          <w:sz w:val="32"/>
          <w:szCs w:val="32"/>
          <w:lang w:val="en-US" w:eastAsia="zh-CN"/>
        </w:rPr>
        <w:t>2024年度</w:t>
      </w:r>
      <w:r>
        <w:rPr>
          <w:rFonts w:hint="eastAsia" w:ascii="仿宋" w:hAnsi="仿宋" w:eastAsia="仿宋" w:cs="仿宋"/>
          <w:sz w:val="32"/>
          <w:szCs w:val="32"/>
          <w:lang w:eastAsia="zh-CN"/>
        </w:rPr>
        <w:t>自治区体育局</w:t>
      </w:r>
      <w:r>
        <w:rPr>
          <w:rFonts w:hint="eastAsia" w:ascii="仿宋" w:hAnsi="仿宋" w:eastAsia="仿宋" w:cs="仿宋"/>
          <w:sz w:val="32"/>
          <w:szCs w:val="32"/>
          <w:lang w:val="en-US" w:eastAsia="zh-CN"/>
        </w:rPr>
        <w:t>整体预算规模</w:t>
      </w:r>
      <w:r>
        <w:rPr>
          <w:rFonts w:hint="eastAsia" w:ascii="仿宋" w:hAnsi="仿宋" w:eastAsia="仿宋" w:cs="仿宋"/>
          <w:sz w:val="32"/>
          <w:szCs w:val="32"/>
          <w:highlight w:val="none"/>
          <w:lang w:val="en-US" w:eastAsia="zh-CN"/>
        </w:rPr>
        <w:t>63580.28万元，其中：</w:t>
      </w:r>
      <w:r>
        <w:rPr>
          <w:rFonts w:hint="eastAsia" w:ascii="仿宋" w:hAnsi="仿宋" w:eastAsia="仿宋" w:cs="仿宋"/>
          <w:sz w:val="32"/>
          <w:szCs w:val="32"/>
          <w:highlight w:val="none"/>
          <w:lang w:eastAsia="zh-CN"/>
        </w:rPr>
        <w:t>年初预算安排49368.15万元，</w:t>
      </w:r>
      <w:r>
        <w:rPr>
          <w:rFonts w:hint="eastAsia" w:ascii="仿宋" w:hAnsi="仿宋" w:eastAsia="仿宋" w:cs="仿宋"/>
          <w:sz w:val="32"/>
          <w:szCs w:val="32"/>
          <w:highlight w:val="none"/>
          <w:lang w:val="en-US" w:eastAsia="zh-CN"/>
        </w:rPr>
        <w:t>年中追加14212.13万元。预算资金安排情况：自治区本级财政资金54092.35万元，上级转移支付资金8348.28万元，单位其他收入1139.65万元。</w:t>
      </w:r>
      <w:r>
        <w:rPr>
          <w:rFonts w:hint="eastAsia" w:ascii="仿宋" w:hAnsi="仿宋" w:eastAsia="仿宋" w:cs="仿宋"/>
          <w:sz w:val="32"/>
          <w:szCs w:val="32"/>
          <w:lang w:val="en-US" w:eastAsia="zh-CN"/>
        </w:rPr>
        <w:t>资金主要用于部门人员经费、公用经费、用于支持体育事业发展的专项业务经费，如全民健身赛事活动经费、体育赛事备战参赛经费、体育场馆免费或低收费开放补助经费等。</w:t>
      </w:r>
    </w:p>
    <w:p w14:paraId="7F6C88B1">
      <w:pPr>
        <w:spacing w:line="540" w:lineRule="exact"/>
        <w:ind w:firstLine="579" w:firstLineChars="181"/>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二、部</w:t>
      </w:r>
      <w:r>
        <w:rPr>
          <w:rFonts w:hint="eastAsia" w:ascii="黑体" w:hAnsi="黑体" w:eastAsia="黑体" w:cs="黑体"/>
          <w:b w:val="0"/>
          <w:bCs w:val="0"/>
          <w:sz w:val="32"/>
          <w:szCs w:val="32"/>
          <w:highlight w:val="yellow"/>
          <w:lang w:val="en-US" w:eastAsia="zh-CN"/>
        </w:rPr>
        <w:t>门单位整体支出管理及使用情况</w:t>
      </w:r>
    </w:p>
    <w:p w14:paraId="26C0BC60">
      <w:pPr>
        <w:spacing w:line="540" w:lineRule="exact"/>
        <w:ind w:firstLine="579" w:firstLineChars="181"/>
        <w:rPr>
          <w:rFonts w:hint="eastAsia" w:ascii="Times New Roman" w:hAnsi="Times New Roman" w:eastAsia="方正仿宋_GBK" w:cs="Times New Roman"/>
          <w:sz w:val="32"/>
          <w:szCs w:val="32"/>
          <w:lang w:val="en-US" w:eastAsia="zh-CN"/>
        </w:rPr>
      </w:pPr>
      <w:r>
        <w:rPr>
          <w:rFonts w:hint="eastAsia" w:ascii="楷体" w:hAnsi="楷体" w:eastAsia="楷体" w:cs="楷体"/>
          <w:sz w:val="32"/>
          <w:szCs w:val="32"/>
          <w:lang w:val="en-US" w:eastAsia="zh-CN"/>
        </w:rPr>
        <w:t>（一）</w:t>
      </w:r>
      <w:r>
        <w:rPr>
          <w:rStyle w:val="7"/>
          <w:rFonts w:hint="eastAsia" w:ascii="楷体" w:hAnsi="楷体" w:eastAsia="楷体" w:cs="楷体"/>
          <w:b w:val="0"/>
          <w:spacing w:val="-4"/>
          <w:sz w:val="32"/>
          <w:szCs w:val="32"/>
        </w:rPr>
        <w:t>整体支出规模</w:t>
      </w:r>
    </w:p>
    <w:p w14:paraId="5C761644">
      <w:pPr>
        <w:spacing w:line="540" w:lineRule="exact"/>
        <w:ind w:firstLine="579" w:firstLineChars="181"/>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2024年</w:t>
      </w:r>
      <w:r>
        <w:rPr>
          <w:rFonts w:hint="eastAsia" w:ascii="仿宋" w:hAnsi="仿宋" w:eastAsia="仿宋" w:cs="仿宋"/>
          <w:sz w:val="32"/>
          <w:szCs w:val="32"/>
          <w:lang w:val="en-US" w:eastAsia="zh-CN"/>
        </w:rPr>
        <w:t>自治区体育局</w:t>
      </w:r>
      <w:r>
        <w:rPr>
          <w:rFonts w:hint="eastAsia" w:ascii="仿宋" w:hAnsi="仿宋" w:eastAsia="仿宋" w:cs="仿宋"/>
          <w:sz w:val="32"/>
          <w:szCs w:val="32"/>
          <w:highlight w:val="none"/>
          <w:lang w:val="en-US" w:eastAsia="zh-CN"/>
        </w:rPr>
        <w:t>整体支出规模58198.76万元，其中：基本支出18475.88万元，特定目标类项目支出38603.57万元，其他资金支出1119.31万元，预算执行率91.54%。</w:t>
      </w:r>
    </w:p>
    <w:p w14:paraId="386FE1CF">
      <w:pPr>
        <w:spacing w:line="540" w:lineRule="exact"/>
        <w:ind w:firstLine="564" w:firstLineChars="181"/>
        <w:rPr>
          <w:rStyle w:val="7"/>
          <w:rFonts w:hint="eastAsia" w:ascii="楷体" w:hAnsi="楷体" w:eastAsia="楷体" w:cs="楷体"/>
          <w:b w:val="0"/>
          <w:spacing w:val="-4"/>
          <w:sz w:val="32"/>
          <w:szCs w:val="32"/>
          <w:highlight w:val="none"/>
          <w:lang w:eastAsia="zh-CN"/>
        </w:rPr>
      </w:pPr>
      <w:r>
        <w:rPr>
          <w:rStyle w:val="7"/>
          <w:rFonts w:hint="eastAsia" w:ascii="楷体" w:hAnsi="楷体" w:eastAsia="楷体" w:cs="楷体"/>
          <w:b w:val="0"/>
          <w:spacing w:val="-4"/>
          <w:sz w:val="32"/>
          <w:szCs w:val="32"/>
          <w:highlight w:val="none"/>
          <w:lang w:eastAsia="zh-CN"/>
        </w:rPr>
        <w:t>（二）资金投入、</w:t>
      </w:r>
      <w:r>
        <w:rPr>
          <w:rStyle w:val="7"/>
          <w:rFonts w:hint="eastAsia" w:ascii="楷体" w:hAnsi="楷体" w:eastAsia="楷体" w:cs="楷体"/>
          <w:b w:val="0"/>
          <w:spacing w:val="-4"/>
          <w:sz w:val="32"/>
          <w:szCs w:val="32"/>
          <w:highlight w:val="none"/>
        </w:rPr>
        <w:t>管理</w:t>
      </w:r>
      <w:r>
        <w:rPr>
          <w:rStyle w:val="7"/>
          <w:rFonts w:hint="eastAsia" w:ascii="楷体" w:hAnsi="楷体" w:eastAsia="楷体" w:cs="楷体"/>
          <w:b w:val="0"/>
          <w:spacing w:val="-4"/>
          <w:sz w:val="32"/>
          <w:szCs w:val="32"/>
          <w:highlight w:val="none"/>
          <w:lang w:eastAsia="zh-CN"/>
        </w:rPr>
        <w:t>和使用情况</w:t>
      </w:r>
    </w:p>
    <w:p w14:paraId="6DE004C9">
      <w:pPr>
        <w:spacing w:line="540" w:lineRule="exact"/>
        <w:ind w:firstLine="579" w:firstLineChars="181"/>
        <w:rPr>
          <w:rFonts w:hint="eastAsia" w:ascii="仿宋" w:hAnsi="仿宋" w:eastAsia="仿宋" w:cs="仿宋"/>
          <w:b w:val="0"/>
          <w:bCs/>
          <w:sz w:val="32"/>
          <w:szCs w:val="32"/>
          <w:highlight w:val="none"/>
          <w:lang w:eastAsia="zh-CN"/>
        </w:rPr>
      </w:pPr>
      <w:r>
        <w:rPr>
          <w:rFonts w:hint="eastAsia" w:ascii="仿宋" w:hAnsi="仿宋" w:eastAsia="仿宋" w:cs="仿宋"/>
          <w:b w:val="0"/>
          <w:bCs/>
          <w:sz w:val="32"/>
          <w:szCs w:val="32"/>
          <w:highlight w:val="none"/>
          <w:lang w:val="en-US" w:eastAsia="zh-CN"/>
        </w:rPr>
        <w:t>财政拨款基本支出投入19181.93万元，实际使用</w:t>
      </w:r>
      <w:r>
        <w:rPr>
          <w:rFonts w:hint="eastAsia" w:ascii="仿宋" w:hAnsi="仿宋" w:eastAsia="仿宋" w:cs="仿宋"/>
          <w:sz w:val="32"/>
          <w:szCs w:val="32"/>
          <w:highlight w:val="none"/>
          <w:lang w:val="en-US" w:eastAsia="zh-CN"/>
        </w:rPr>
        <w:t>18475.88万元，主要</w:t>
      </w:r>
      <w:r>
        <w:rPr>
          <w:rFonts w:hint="eastAsia" w:ascii="仿宋" w:hAnsi="仿宋" w:eastAsia="仿宋" w:cs="仿宋"/>
          <w:b w:val="0"/>
          <w:bCs/>
          <w:sz w:val="32"/>
          <w:szCs w:val="32"/>
          <w:highlight w:val="none"/>
        </w:rPr>
        <w:t>用于保障部门单位基本人员支出和公用经费支出</w:t>
      </w:r>
      <w:r>
        <w:rPr>
          <w:rFonts w:hint="eastAsia" w:ascii="仿宋" w:hAnsi="仿宋" w:eastAsia="仿宋" w:cs="仿宋"/>
          <w:b w:val="0"/>
          <w:bCs/>
          <w:sz w:val="32"/>
          <w:szCs w:val="32"/>
          <w:highlight w:val="none"/>
          <w:lang w:eastAsia="zh-CN"/>
        </w:rPr>
        <w:t>。</w:t>
      </w:r>
    </w:p>
    <w:p w14:paraId="4BED089F">
      <w:pPr>
        <w:spacing w:line="540" w:lineRule="exact"/>
        <w:ind w:firstLine="579" w:firstLineChars="181"/>
        <w:rPr>
          <w:rFonts w:hint="eastAsia" w:ascii="仿宋" w:hAnsi="仿宋" w:eastAsia="仿宋" w:cs="仿宋"/>
          <w:b w:val="0"/>
          <w:bCs/>
          <w:sz w:val="32"/>
          <w:szCs w:val="32"/>
          <w:lang w:eastAsia="zh-CN"/>
        </w:rPr>
      </w:pPr>
      <w:r>
        <w:rPr>
          <w:rFonts w:hint="eastAsia" w:ascii="仿宋" w:hAnsi="仿宋" w:eastAsia="仿宋" w:cs="仿宋"/>
          <w:b w:val="0"/>
          <w:bCs/>
          <w:sz w:val="32"/>
          <w:szCs w:val="32"/>
          <w:highlight w:val="none"/>
          <w:lang w:val="en-US" w:eastAsia="zh-CN"/>
        </w:rPr>
        <w:t>财政拨款</w:t>
      </w:r>
      <w:r>
        <w:rPr>
          <w:rFonts w:hint="eastAsia" w:ascii="仿宋" w:hAnsi="仿宋" w:eastAsia="仿宋" w:cs="仿宋"/>
          <w:sz w:val="32"/>
          <w:szCs w:val="32"/>
          <w:highlight w:val="none"/>
          <w:lang w:val="en-US" w:eastAsia="zh-CN"/>
        </w:rPr>
        <w:t>特定目标类项目投入43258.7万元，</w:t>
      </w:r>
      <w:r>
        <w:rPr>
          <w:rFonts w:hint="eastAsia" w:ascii="仿宋" w:hAnsi="仿宋" w:eastAsia="仿宋" w:cs="仿宋"/>
          <w:b w:val="0"/>
          <w:bCs/>
          <w:sz w:val="32"/>
          <w:szCs w:val="32"/>
          <w:highlight w:val="none"/>
          <w:lang w:val="en-US" w:eastAsia="zh-CN"/>
        </w:rPr>
        <w:t>实际使用</w:t>
      </w:r>
      <w:r>
        <w:rPr>
          <w:rFonts w:hint="eastAsia" w:ascii="仿宋" w:hAnsi="仿宋" w:eastAsia="仿宋" w:cs="仿宋"/>
          <w:sz w:val="32"/>
          <w:szCs w:val="32"/>
          <w:highlight w:val="none"/>
          <w:lang w:val="en-US" w:eastAsia="zh-CN"/>
        </w:rPr>
        <w:t>38603.57万元，主要用于</w:t>
      </w:r>
      <w:r>
        <w:rPr>
          <w:rFonts w:hint="eastAsia" w:ascii="仿宋" w:hAnsi="仿宋" w:eastAsia="仿宋" w:cs="仿宋"/>
          <w:b w:val="0"/>
          <w:bCs/>
          <w:sz w:val="32"/>
          <w:szCs w:val="32"/>
          <w:highlight w:val="none"/>
        </w:rPr>
        <w:t>保</w:t>
      </w:r>
      <w:r>
        <w:rPr>
          <w:rFonts w:hint="eastAsia" w:ascii="仿宋" w:hAnsi="仿宋" w:eastAsia="仿宋" w:cs="仿宋"/>
          <w:b w:val="0"/>
          <w:bCs/>
          <w:sz w:val="32"/>
          <w:szCs w:val="32"/>
        </w:rPr>
        <w:t>障各训练单位运动员教练员等人员的伙食供应、津贴及</w:t>
      </w:r>
      <w:r>
        <w:rPr>
          <w:rFonts w:hint="eastAsia" w:ascii="仿宋" w:hAnsi="仿宋" w:eastAsia="仿宋" w:cs="仿宋"/>
          <w:b w:val="0"/>
          <w:bCs/>
          <w:sz w:val="32"/>
          <w:szCs w:val="32"/>
          <w:lang w:eastAsia="zh-CN"/>
        </w:rPr>
        <w:t>成绩</w:t>
      </w:r>
      <w:r>
        <w:rPr>
          <w:rFonts w:hint="eastAsia" w:ascii="仿宋" w:hAnsi="仿宋" w:eastAsia="仿宋" w:cs="仿宋"/>
          <w:b w:val="0"/>
          <w:bCs/>
          <w:sz w:val="32"/>
          <w:szCs w:val="32"/>
        </w:rPr>
        <w:t>奖金</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各项体育赛事备战及参赛工作</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lang w:val="en-US" w:eastAsia="zh-CN"/>
        </w:rPr>
        <w:t>保障</w:t>
      </w:r>
      <w:r>
        <w:rPr>
          <w:rFonts w:hint="eastAsia" w:ascii="仿宋" w:hAnsi="仿宋" w:eastAsia="仿宋" w:cs="仿宋"/>
          <w:b w:val="0"/>
          <w:bCs/>
          <w:sz w:val="32"/>
          <w:szCs w:val="32"/>
        </w:rPr>
        <w:t>本年度群众体育、青少年体育、体育政策法规与科教宣传、体育产业、登山运动服务、体育场馆建设、运营、维护、免费低收费开放等各项工作任务</w:t>
      </w:r>
      <w:r>
        <w:rPr>
          <w:rFonts w:hint="eastAsia" w:ascii="仿宋" w:hAnsi="仿宋" w:eastAsia="仿宋" w:cs="仿宋"/>
          <w:b w:val="0"/>
          <w:bCs/>
          <w:sz w:val="32"/>
          <w:szCs w:val="32"/>
          <w:lang w:eastAsia="zh-CN"/>
        </w:rPr>
        <w:t>；</w:t>
      </w:r>
      <w:r>
        <w:rPr>
          <w:rFonts w:hint="eastAsia" w:ascii="仿宋" w:hAnsi="仿宋" w:eastAsia="仿宋" w:cs="仿宋"/>
          <w:b w:val="0"/>
          <w:bCs/>
          <w:sz w:val="32"/>
          <w:szCs w:val="32"/>
        </w:rPr>
        <w:t>体育职业</w:t>
      </w:r>
      <w:r>
        <w:rPr>
          <w:rFonts w:hint="eastAsia" w:ascii="仿宋" w:hAnsi="仿宋" w:eastAsia="仿宋" w:cs="仿宋"/>
          <w:b w:val="0"/>
          <w:bCs/>
          <w:sz w:val="32"/>
          <w:szCs w:val="32"/>
          <w:lang w:eastAsia="zh-CN"/>
        </w:rPr>
        <w:t>技术学院的</w:t>
      </w:r>
      <w:r>
        <w:rPr>
          <w:rFonts w:hint="eastAsia" w:ascii="仿宋" w:hAnsi="仿宋" w:eastAsia="仿宋" w:cs="仿宋"/>
          <w:b w:val="0"/>
          <w:bCs/>
          <w:sz w:val="32"/>
          <w:szCs w:val="32"/>
        </w:rPr>
        <w:t>教育</w:t>
      </w:r>
      <w:r>
        <w:rPr>
          <w:rFonts w:hint="eastAsia" w:ascii="仿宋" w:hAnsi="仿宋" w:eastAsia="仿宋" w:cs="仿宋"/>
          <w:b w:val="0"/>
          <w:bCs/>
          <w:sz w:val="32"/>
          <w:szCs w:val="32"/>
          <w:lang w:eastAsia="zh-CN"/>
        </w:rPr>
        <w:t>经费支出等。</w:t>
      </w:r>
    </w:p>
    <w:p w14:paraId="02D2C30E">
      <w:pPr>
        <w:spacing w:line="540" w:lineRule="exact"/>
        <w:ind w:firstLine="579" w:firstLineChars="181"/>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其他资金投入1139.65万元，</w:t>
      </w:r>
      <w:r>
        <w:rPr>
          <w:rFonts w:hint="eastAsia" w:ascii="仿宋" w:hAnsi="仿宋" w:eastAsia="仿宋" w:cs="仿宋"/>
          <w:b w:val="0"/>
          <w:bCs/>
          <w:sz w:val="32"/>
          <w:szCs w:val="32"/>
          <w:lang w:val="en-US" w:eastAsia="zh-CN"/>
        </w:rPr>
        <w:t>实际使</w:t>
      </w:r>
      <w:r>
        <w:rPr>
          <w:rFonts w:hint="eastAsia" w:ascii="仿宋" w:hAnsi="仿宋" w:eastAsia="仿宋" w:cs="仿宋"/>
          <w:b w:val="0"/>
          <w:bCs/>
          <w:sz w:val="32"/>
          <w:szCs w:val="32"/>
          <w:highlight w:val="none"/>
          <w:lang w:val="en-US" w:eastAsia="zh-CN"/>
        </w:rPr>
        <w:t>用</w:t>
      </w:r>
      <w:r>
        <w:rPr>
          <w:rFonts w:hint="eastAsia" w:ascii="仿宋" w:hAnsi="仿宋" w:eastAsia="仿宋" w:cs="仿宋"/>
          <w:sz w:val="32"/>
          <w:szCs w:val="32"/>
          <w:highlight w:val="none"/>
          <w:lang w:val="en-US" w:eastAsia="zh-CN"/>
        </w:rPr>
        <w:t>1119.31万元，经费来源于新疆体育中心（差额预算单位）经营收入、新疆体育职业技术学院（差额预算单位）学生学费、住宿费收入，用于其弥补财政资金保障不足的人员经费和公用开支；自治区体育局机关、体育训练二大队上级拨款和补助资金，拳击运动管理中心、摔跤柔道运动管理中心收取其他单位前来训练交流食宿费，用于相关单位的相关支出。</w:t>
      </w:r>
    </w:p>
    <w:p w14:paraId="714952A8">
      <w:pPr>
        <w:spacing w:line="540" w:lineRule="exact"/>
        <w:ind w:firstLine="579" w:firstLineChars="181"/>
        <w:rPr>
          <w:rFonts w:hint="eastAsia" w:ascii="仿宋" w:hAnsi="仿宋" w:eastAsia="仿宋" w:cs="仿宋"/>
          <w:sz w:val="32"/>
          <w:szCs w:val="32"/>
          <w:lang w:val="en-US" w:eastAsia="zh-CN"/>
        </w:rPr>
      </w:pPr>
      <w:r>
        <w:rPr>
          <w:rFonts w:hint="eastAsia" w:ascii="仿宋" w:hAnsi="仿宋" w:eastAsia="仿宋" w:cs="仿宋"/>
          <w:b w:val="0"/>
          <w:bCs/>
          <w:sz w:val="32"/>
          <w:szCs w:val="32"/>
          <w:highlight w:val="none"/>
        </w:rPr>
        <w:t>资金管理按照财政部《预算管理一体化规范（试行）》（财办〔2020〕13号）文件精神执行，资金使用支出严格按照《自治区体育局财务管理办法》执行</w:t>
      </w:r>
      <w:r>
        <w:rPr>
          <w:rFonts w:hint="eastAsia" w:ascii="仿宋" w:hAnsi="仿宋" w:eastAsia="仿宋" w:cs="仿宋"/>
          <w:b w:val="0"/>
          <w:bCs/>
          <w:sz w:val="32"/>
          <w:szCs w:val="32"/>
          <w:highlight w:val="none"/>
          <w:lang w:eastAsia="zh-CN"/>
        </w:rPr>
        <w:t>。</w:t>
      </w:r>
    </w:p>
    <w:p w14:paraId="1546623C">
      <w:pPr>
        <w:spacing w:line="540" w:lineRule="exact"/>
        <w:ind w:firstLine="564" w:firstLineChars="181"/>
        <w:rPr>
          <w:rStyle w:val="7"/>
          <w:rFonts w:hint="eastAsia" w:ascii="楷体" w:hAnsi="楷体" w:eastAsia="楷体" w:cs="楷体"/>
          <w:b w:val="0"/>
          <w:spacing w:val="-4"/>
          <w:sz w:val="32"/>
          <w:szCs w:val="32"/>
          <w:highlight w:val="none"/>
          <w:lang w:val="en-US" w:eastAsia="zh-CN"/>
        </w:rPr>
      </w:pPr>
      <w:r>
        <w:rPr>
          <w:rStyle w:val="7"/>
          <w:rFonts w:hint="eastAsia" w:ascii="楷体" w:hAnsi="楷体" w:eastAsia="楷体" w:cs="楷体"/>
          <w:b w:val="0"/>
          <w:spacing w:val="-4"/>
          <w:sz w:val="32"/>
          <w:szCs w:val="32"/>
          <w:lang w:val="en-US" w:eastAsia="zh-CN"/>
        </w:rPr>
        <w:t>（三）</w:t>
      </w:r>
      <w:r>
        <w:rPr>
          <w:rStyle w:val="7"/>
          <w:rFonts w:hint="eastAsia" w:ascii="楷体" w:hAnsi="楷体" w:eastAsia="楷体" w:cs="楷体"/>
          <w:b w:val="0"/>
          <w:spacing w:val="-4"/>
          <w:sz w:val="32"/>
          <w:szCs w:val="32"/>
          <w:highlight w:val="none"/>
          <w:lang w:eastAsia="zh-CN"/>
        </w:rPr>
        <w:t>取得的效益</w:t>
      </w:r>
    </w:p>
    <w:p w14:paraId="6E86B431">
      <w:pPr>
        <w:spacing w:line="540" w:lineRule="exact"/>
        <w:ind w:firstLine="579" w:firstLineChars="181"/>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2024年，自治区体育局贯彻</w:t>
      </w:r>
      <w:r>
        <w:rPr>
          <w:rFonts w:hint="eastAsia" w:ascii="仿宋" w:hAnsi="仿宋" w:eastAsia="仿宋" w:cs="仿宋"/>
          <w:sz w:val="32"/>
          <w:szCs w:val="32"/>
          <w:lang w:val="en-US" w:eastAsia="zh-CN"/>
        </w:rPr>
        <w:t>落实自治区党委、人民政府关于体育工作的各项要求，聚焦体育强国、体育强区建设，推动体育工作向好发展，体育事业发展迈出了新步伐、取得了新成效。</w:t>
      </w:r>
    </w:p>
    <w:p w14:paraId="09763410">
      <w:pPr>
        <w:spacing w:line="540" w:lineRule="exact"/>
        <w:ind w:firstLine="581" w:firstLineChars="181"/>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1.全民健身公共服务设施不断完善。</w:t>
      </w:r>
      <w:r>
        <w:rPr>
          <w:rFonts w:hint="eastAsia" w:ascii="仿宋" w:hAnsi="仿宋" w:eastAsia="仿宋" w:cs="仿宋"/>
          <w:sz w:val="32"/>
          <w:szCs w:val="32"/>
          <w:lang w:val="en-US" w:eastAsia="zh-CN"/>
        </w:rPr>
        <w:t>指导和支持地州市建设75个多功能运动场、13个体育公园、12个足球场、16个篮球场、1个全民健身中心、3条健身步道、8个群众滑冰场，布局200个乒乓球台进社区和公园；指导全区108个公共体育场馆免费或低收费对老百姓开放；为61个乡镇（街道）补齐场地器材短板。</w:t>
      </w:r>
    </w:p>
    <w:p w14:paraId="7D7FD444">
      <w:pPr>
        <w:numPr>
          <w:ilvl w:val="0"/>
          <w:numId w:val="0"/>
        </w:numPr>
        <w:spacing w:line="540" w:lineRule="exact"/>
        <w:ind w:firstLine="643" w:firstLineChars="200"/>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2.群众身边的赛事活动异彩纷呈。</w:t>
      </w:r>
      <w:r>
        <w:rPr>
          <w:rFonts w:hint="eastAsia" w:ascii="仿宋" w:hAnsi="仿宋" w:eastAsia="仿宋" w:cs="仿宋"/>
          <w:sz w:val="32"/>
          <w:szCs w:val="32"/>
          <w:lang w:val="en-US" w:eastAsia="zh-CN"/>
        </w:rPr>
        <w:t>以深入实施“体育文化润疆”为主题，广泛组织开展村超、村BA、三大球“石榴籽杯”、“兵地杯”“援疆杯”、社区运动会等系列赛事活动，有效促进了各族人民交往交流交融，有形有感有效铸牢中华民族共同体意识。累计举办各类社区（行政村）运动会5.4万场，参与总人数558万人次，在国家全民健身平台赛事活动排名保持前列，得到国家体育总局充分肯定。以丰富老百姓体育文化生活为主题，成功举办马拉松、汽摩、水上、赛马、登山、航模、骑行、越野、徒步、露营、冰雪等精品户外赛事活动共309场次。</w:t>
      </w:r>
    </w:p>
    <w:p w14:paraId="39FCC85D">
      <w:pPr>
        <w:numPr>
          <w:ilvl w:val="0"/>
          <w:numId w:val="0"/>
        </w:numPr>
        <w:spacing w:line="540" w:lineRule="exact"/>
        <w:ind w:firstLine="643" w:firstLineChars="200"/>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3.科学健身指导深入基层服务百姓。</w:t>
      </w:r>
      <w:r>
        <w:rPr>
          <w:rFonts w:hint="eastAsia" w:ascii="仿宋" w:hAnsi="仿宋" w:eastAsia="仿宋" w:cs="仿宋"/>
          <w:sz w:val="32"/>
          <w:szCs w:val="32"/>
          <w:lang w:val="en-US" w:eastAsia="zh-CN"/>
        </w:rPr>
        <w:t>深入开展全国科学健身指导走基层活动，配套开展了运动健康大讲堂、科学健身现场项目指导、国民体质监测、专家现场咨询等全民健身志愿服务活动36场次，冠军行活动9场次。“迈开步 动出彩”国球进社区、进公园公益行，三位冠军运动员走进库尔勒，与当地居民亲密互动，通过志愿服务、冠军行等多种形式，不仅让群众近距离感受到了国球的魅力，更激发了科学健身的热情，营造了良好的全民健身氛围。举办一级社会体育指导员培训班，204名学员</w:t>
      </w:r>
      <w:r>
        <w:rPr>
          <w:rFonts w:hint="eastAsia" w:ascii="仿宋" w:hAnsi="仿宋" w:eastAsia="仿宋" w:cs="仿宋"/>
          <w:sz w:val="32"/>
          <w:szCs w:val="32"/>
          <w:highlight w:val="none"/>
          <w:lang w:val="en-US" w:eastAsia="zh-CN"/>
        </w:rPr>
        <w:t>被授予一级社会体育指导员称号。全区累计审批社会体育指导员达到55176人，其中国家级1003人、一级3921人、二级20744人、三级29508人。开展国民体质监测30场，检测人数2200</w:t>
      </w:r>
      <w:r>
        <w:rPr>
          <w:rFonts w:hint="eastAsia" w:ascii="仿宋" w:hAnsi="仿宋" w:eastAsia="仿宋" w:cs="仿宋"/>
          <w:sz w:val="32"/>
          <w:szCs w:val="32"/>
          <w:lang w:val="en-US" w:eastAsia="zh-CN"/>
        </w:rPr>
        <w:t>人次。推动国家体育锻炼标准达标测试工作，完成体育锻炼达标测试25场次，参与人数8000人。</w:t>
      </w:r>
    </w:p>
    <w:p w14:paraId="5B64CF1C">
      <w:pPr>
        <w:numPr>
          <w:ilvl w:val="0"/>
          <w:numId w:val="0"/>
        </w:numPr>
        <w:spacing w:line="540" w:lineRule="exact"/>
        <w:ind w:firstLine="643" w:firstLineChars="200"/>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4.竞技体育综合实力明显提升。</w:t>
      </w:r>
      <w:r>
        <w:rPr>
          <w:rFonts w:hint="eastAsia" w:ascii="仿宋" w:hAnsi="仿宋" w:eastAsia="仿宋" w:cs="仿宋"/>
          <w:sz w:val="32"/>
          <w:szCs w:val="32"/>
          <w:lang w:val="en-US" w:eastAsia="zh-CN"/>
        </w:rPr>
        <w:t>我区运动员在2024年国际和国内比赛，参加国际比赛获得58个第一名，44个第二名，41个第三名，其中参加奥运会、世界杯（含分站赛）、世锦赛（含青年）获得10个第一名，7个第二名，2个第三名；参加国内比赛获得105个第一名，100个第二名，114个第三名，其中参加全（冬）运会、全国锦标赛、冠军赛获得55个第一名，63个第二名，57个第三名。先后为国家培养输送了大量优秀后备人才，在国际国内大型赛事中，实现了为祖国争光、为新疆添彩的目标。</w:t>
      </w:r>
    </w:p>
    <w:p w14:paraId="28D6D846">
      <w:pPr>
        <w:numPr>
          <w:ilvl w:val="0"/>
          <w:numId w:val="0"/>
        </w:numPr>
        <w:spacing w:line="540" w:lineRule="exact"/>
        <w:ind w:firstLine="643" w:firstLineChars="200"/>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5.高质量举办国际、国内大型赛事活动。</w:t>
      </w:r>
      <w:r>
        <w:rPr>
          <w:rFonts w:hint="eastAsia" w:ascii="仿宋" w:hAnsi="仿宋" w:eastAsia="仿宋" w:cs="仿宋"/>
          <w:sz w:val="32"/>
          <w:szCs w:val="32"/>
          <w:lang w:val="en-US" w:eastAsia="zh-CN"/>
        </w:rPr>
        <w:t>举办环阿尔泰山运动会，俄罗斯、哈萨克斯坦、蒙古国以及吉林省、新疆各地州市15支代表队、150余名运动员参赛。承办全国越野滑雪冠军赛，全国12支参赛代表队74名运动员参赛。举办中国环塔国际拉力赛，国内外50支车队、110辆赛车、200名车手参赛。举办中国环塔丝路集结赛，中国及哈萨克斯坦、吉尔吉斯斯坦130多名选手参赛。举办首届“喀什杯”中亚五国青少年足球邀请赛，5个国家8支队伍约250名运动员参赛。举办“一带一路”国际雪地排球邀请赛，法国、伊朗、哈萨克斯坦以及国内新疆、宁夏、内蒙古的7支队伍参赛。</w:t>
      </w:r>
    </w:p>
    <w:p w14:paraId="5021482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6.青少年体育赛事活动丰富多彩。</w:t>
      </w:r>
      <w:r>
        <w:rPr>
          <w:rFonts w:hint="eastAsia" w:ascii="仿宋" w:hAnsi="仿宋" w:eastAsia="仿宋" w:cs="仿宋"/>
          <w:sz w:val="32"/>
          <w:szCs w:val="32"/>
          <w:lang w:val="en-US" w:eastAsia="zh-CN"/>
        </w:rPr>
        <w:t>与教育厅每年联合举办30多项青少年体育赛事，连续21年举办学生阳光体育竞赛活动。全区已创建全国足球、篮球、排球特色学校共1121所，1000多所学校拥有校园足球队，经常参加足球活动的学生超过12万人，已形成青少年校园足球大、高、初、小四级联赛体系。指导各地州市开展田径、足球、篮球、拳击、沙滩排球等24个大项“奔跑吧·少年”儿童青少年主题健身活动。备战第一届全国青少年三大球运动会，开启各项目全疆选拔工作。备战2024年“奔跑吧·少年”全国青少年阳光体育大会。联合自治区关工委、团委举办“红领巾爱祖国”庆“六一”主题队日活动。</w:t>
      </w:r>
    </w:p>
    <w:p w14:paraId="7C1095C2">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7.体育带动旅游拉动消费促进经济发展成效明显。</w:t>
      </w:r>
      <w:r>
        <w:rPr>
          <w:rFonts w:hint="eastAsia" w:ascii="仿宋" w:hAnsi="仿宋" w:eastAsia="仿宋" w:cs="仿宋"/>
          <w:sz w:val="32"/>
          <w:szCs w:val="32"/>
          <w:lang w:val="en-US" w:eastAsia="zh-CN"/>
        </w:rPr>
        <w:t>将体育融入自治区“十大产业集群”，探索推进体育赛事成为新的经济增长点打造“跟着赛事去旅行”品牌，成功举办环塔拉力赛、环赛里木湖自行车赛、大众冰雪季、户外运动大会等赛事活动289项，激发体育消费活力不断增强，有效带动了旅游、餐饮、食宿、休闲、娱乐等全产业链发展。2024中国环塔国际拉力赛期间，途径地共接待游客245.77万人次，同比增长123.4%，实现旅游收入18.57亿元，同比增长250.4%。另外，在克州举办的“阿图什杯”全疆足球邀请赛，吸引球迷、游客达12.38万人次，带动餐饮、住宿、娱乐等消费4600余万元，体育助力经济社会发展的综合效应得以充分彰显。</w:t>
      </w:r>
    </w:p>
    <w:p w14:paraId="0479BCE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3" w:firstLineChars="200"/>
        <w:textAlignment w:val="auto"/>
        <w:rPr>
          <w:rFonts w:hint="eastAsia" w:ascii="仿宋" w:hAnsi="仿宋" w:eastAsia="仿宋" w:cs="仿宋"/>
          <w:sz w:val="32"/>
          <w:szCs w:val="32"/>
          <w:lang w:val="en-US" w:eastAsia="zh-CN"/>
        </w:rPr>
      </w:pPr>
      <w:r>
        <w:rPr>
          <w:rFonts w:hint="eastAsia" w:ascii="仿宋" w:hAnsi="仿宋" w:eastAsia="仿宋" w:cs="仿宋"/>
          <w:b/>
          <w:bCs/>
          <w:sz w:val="32"/>
          <w:szCs w:val="32"/>
          <w:lang w:val="en-US" w:eastAsia="zh-CN"/>
        </w:rPr>
        <w:t>8.党纪学习教育扎实开展。</w:t>
      </w:r>
      <w:r>
        <w:rPr>
          <w:rFonts w:hint="eastAsia" w:ascii="仿宋" w:hAnsi="仿宋" w:eastAsia="仿宋" w:cs="仿宋"/>
          <w:sz w:val="32"/>
          <w:szCs w:val="32"/>
          <w:lang w:val="en-US" w:eastAsia="zh-CN"/>
        </w:rPr>
        <w:t>局党组高度重视、精心部署，党组书记带头研讨发言，举办读书班，学习《条例》，邀请专家解读辅导。把党纪学习教育作为理论学习中心组学习重要内容，同步安排、同步学习，开展线下线上答题活动，及时配发学习材料，为42个党支部、571名党员配发《条例》。观看警示教育片《持续发力纵深推进》，结合李铁等足球领域腐败典型案例，查找制约新疆足球运动发展瓶颈、青少年足球选才培养的风险点，召开足球工作专题会议，建立自治区层面足球改革发展协调机制，围绕教练员队伍建设、足球后备人才选拔培养、构建青少年足球赛事体系等关键问题，制定针对性措施9项。</w:t>
      </w:r>
    </w:p>
    <w:p w14:paraId="1D789C7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三、部门单位</w:t>
      </w:r>
      <w:r>
        <w:rPr>
          <w:rFonts w:hint="eastAsia" w:ascii="黑体" w:hAnsi="黑体" w:eastAsia="黑体" w:cs="黑体"/>
          <w:b w:val="0"/>
          <w:bCs w:val="0"/>
          <w:sz w:val="32"/>
          <w:szCs w:val="32"/>
          <w:highlight w:val="yellow"/>
          <w:lang w:val="en-US" w:eastAsia="zh-CN"/>
        </w:rPr>
        <w:t>整体支出绩效分析</w:t>
      </w:r>
    </w:p>
    <w:p w14:paraId="075D46E5">
      <w:pPr>
        <w:spacing w:line="540" w:lineRule="exact"/>
        <w:ind w:firstLine="579" w:firstLineChars="181"/>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(一）数量指标1：人均体</w:t>
      </w:r>
      <w:r>
        <w:rPr>
          <w:rFonts w:hint="eastAsia" w:ascii="仿宋" w:hAnsi="仿宋" w:eastAsia="仿宋" w:cs="仿宋"/>
          <w:sz w:val="32"/>
          <w:szCs w:val="32"/>
          <w:highlight w:val="none"/>
          <w:lang w:val="en-US" w:eastAsia="zh-CN"/>
        </w:rPr>
        <w:t>育场地面积,预期指标值≥2.84平方米，年中绩效运行监控节点完成值2.81平方米，本次实际完成值2.88平方米,完成率101.4%,偏差率1.4%。偏差原因：年初绩效目标精准度不足。改进措施：在今后设置指标时参考上一年度完成情况设定，降低指标完成值的偏差率。指标成效分析：随着体育场地数量的增加，全民健身设施的普及程度显著提升，有效缓解了群众“健身去哪”的难题。</w:t>
      </w:r>
    </w:p>
    <w:p w14:paraId="0213464F">
      <w:pPr>
        <w:spacing w:line="540" w:lineRule="exact"/>
        <w:ind w:firstLine="579" w:firstLineChars="181"/>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二）数量指标2：支持建设室外群众滑冰场数量,预期指标值=8个，年中绩效运行监控节点完成值3个，本次实际完成值8个，完成率100%,偏差率0%，无偏差。指标成效分析：滑冰场的建设极大的推动了冰雪运动的发展，激发了群众对冰雪运动的热情，有效促进了冰雪经济的发展。</w:t>
      </w:r>
    </w:p>
    <w:p w14:paraId="38F1F2CE">
      <w:pPr>
        <w:spacing w:line="540" w:lineRule="exact"/>
        <w:ind w:firstLine="579" w:firstLineChars="181"/>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三）数量指标3：举办自治区级群众体育品牌赛事活动、开展“全国大众冰雪季”系列活动数量,预期指标值≥18场，年中绩效运行监控节点完成值20场，本次实际完成值20场,完成率111.1%,偏差率11.1%。偏差原因：年初绩效目标精准度不足。改进措施：在今后设置指标时参考上一年度完成情况设定，降低指标完成值的偏差率。指标成效分析：通过举办赛事活动有效促进了各族人民交往交流交融，有形有感有效铸牢中华民族共同体意识。</w:t>
      </w:r>
    </w:p>
    <w:p w14:paraId="32E344D8">
      <w:pPr>
        <w:spacing w:line="540" w:lineRule="exact"/>
        <w:ind w:firstLine="579" w:firstLineChars="181"/>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（四）数量指标4：每千人拥有社会体育指导员数量,预期指标值≥2.16人，</w:t>
      </w:r>
      <w:r>
        <w:rPr>
          <w:rFonts w:hint="eastAsia" w:ascii="仿宋" w:hAnsi="仿宋" w:eastAsia="仿宋" w:cs="仿宋"/>
          <w:sz w:val="32"/>
          <w:szCs w:val="32"/>
          <w:highlight w:val="none"/>
          <w:lang w:val="en-US" w:eastAsia="zh-CN"/>
        </w:rPr>
        <w:t>年中绩效运行</w:t>
      </w:r>
      <w:r>
        <w:rPr>
          <w:rFonts w:hint="eastAsia" w:ascii="仿宋" w:hAnsi="仿宋" w:eastAsia="仿宋" w:cs="仿宋"/>
          <w:sz w:val="32"/>
          <w:szCs w:val="32"/>
          <w:lang w:val="en-US" w:eastAsia="zh-CN"/>
        </w:rPr>
        <w:t>监控节点完成</w:t>
      </w:r>
      <w:r>
        <w:rPr>
          <w:rFonts w:hint="eastAsia" w:ascii="仿宋" w:hAnsi="仿宋" w:eastAsia="仿宋" w:cs="仿宋"/>
          <w:sz w:val="32"/>
          <w:szCs w:val="32"/>
          <w:highlight w:val="none"/>
          <w:lang w:val="en-US" w:eastAsia="zh-CN"/>
        </w:rPr>
        <w:t>2.36人</w:t>
      </w:r>
      <w:r>
        <w:rPr>
          <w:rFonts w:hint="eastAsia" w:ascii="仿宋" w:hAnsi="仿宋" w:eastAsia="仿宋" w:cs="仿宋"/>
          <w:sz w:val="32"/>
          <w:szCs w:val="32"/>
          <w:lang w:val="en-US" w:eastAsia="zh-CN"/>
        </w:rPr>
        <w:t>，本次实际完成值</w:t>
      </w:r>
      <w:r>
        <w:rPr>
          <w:rFonts w:hint="eastAsia" w:ascii="仿宋" w:hAnsi="仿宋" w:eastAsia="仿宋" w:cs="仿宋"/>
          <w:sz w:val="32"/>
          <w:szCs w:val="32"/>
          <w:highlight w:val="none"/>
          <w:lang w:val="en-US" w:eastAsia="zh-CN"/>
        </w:rPr>
        <w:t>2.10人,完成率97.2%,偏差率2.8%。偏差原因：监控节点时使用2023年常住人口数，自评时使用2024年常住人口数，人口数量较上一年有所增加，因此完成值未达目标。改进措施：下一年度精准预算。指标成效分析：通过培训社会体育指导员，开展全民健身志愿服务活动，将科学健身知识带到群众身边，营造“全民健身，你我同行”的良好氛围。</w:t>
      </w:r>
    </w:p>
    <w:p w14:paraId="614B3ACC">
      <w:pPr>
        <w:spacing w:line="540" w:lineRule="exact"/>
        <w:ind w:firstLine="579" w:firstLineChars="181"/>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（五）数量指标5：输送至国家</w:t>
      </w:r>
      <w:r>
        <w:rPr>
          <w:rFonts w:hint="eastAsia" w:ascii="仿宋" w:hAnsi="仿宋" w:eastAsia="仿宋" w:cs="仿宋"/>
          <w:sz w:val="32"/>
          <w:szCs w:val="32"/>
          <w:lang w:val="en-US" w:eastAsia="zh-CN"/>
        </w:rPr>
        <w:t>队参赛巴黎奥运会的新疆运动员人数,预期指标值≥2人，</w:t>
      </w:r>
      <w:r>
        <w:rPr>
          <w:rFonts w:hint="eastAsia" w:ascii="仿宋" w:hAnsi="仿宋" w:eastAsia="仿宋" w:cs="仿宋"/>
          <w:sz w:val="32"/>
          <w:szCs w:val="32"/>
          <w:highlight w:val="none"/>
          <w:lang w:val="en-US" w:eastAsia="zh-CN"/>
        </w:rPr>
        <w:t>年中绩效运行</w:t>
      </w:r>
      <w:r>
        <w:rPr>
          <w:rFonts w:hint="eastAsia" w:ascii="仿宋" w:hAnsi="仿宋" w:eastAsia="仿宋" w:cs="仿宋"/>
          <w:sz w:val="32"/>
          <w:szCs w:val="32"/>
          <w:lang w:val="en-US" w:eastAsia="zh-CN"/>
        </w:rPr>
        <w:t>监控节点完成值5人，本次实际完成值5人,</w:t>
      </w:r>
      <w:r>
        <w:rPr>
          <w:rFonts w:hint="eastAsia" w:ascii="仿宋" w:hAnsi="仿宋" w:eastAsia="仿宋" w:cs="仿宋"/>
          <w:sz w:val="32"/>
          <w:szCs w:val="32"/>
          <w:highlight w:val="none"/>
          <w:lang w:val="en-US" w:eastAsia="zh-CN"/>
        </w:rPr>
        <w:t>完成率250%,偏差率150%。</w:t>
      </w:r>
      <w:r>
        <w:rPr>
          <w:rFonts w:hint="eastAsia" w:ascii="仿宋" w:hAnsi="仿宋" w:eastAsia="仿宋" w:cs="仿宋"/>
          <w:sz w:val="32"/>
          <w:szCs w:val="32"/>
          <w:lang w:val="en-US" w:eastAsia="zh-CN"/>
        </w:rPr>
        <w:t>偏差原因：运动员超常发挥，表现优异。下一步措施：加大培养运动员，争取让更多运动员为国争光。</w:t>
      </w:r>
      <w:r>
        <w:rPr>
          <w:rFonts w:hint="eastAsia" w:ascii="仿宋" w:hAnsi="仿宋" w:eastAsia="仿宋" w:cs="仿宋"/>
          <w:sz w:val="32"/>
          <w:szCs w:val="32"/>
          <w:highlight w:val="none"/>
          <w:lang w:val="en-US" w:eastAsia="zh-CN"/>
        </w:rPr>
        <w:t>指标成效分析：为国家培养输送优秀后备人才，在奥运会中，实现了为祖国争光、为新疆添彩的目标。</w:t>
      </w:r>
    </w:p>
    <w:p w14:paraId="66A111B4">
      <w:pPr>
        <w:spacing w:line="540" w:lineRule="exact"/>
        <w:ind w:firstLine="579" w:firstLineChars="181"/>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（6）数量指标6：到2024年累计完成自治区级体育传统特色学校数量,预期指标值≥700所，</w:t>
      </w:r>
      <w:r>
        <w:rPr>
          <w:rFonts w:hint="eastAsia" w:ascii="仿宋" w:hAnsi="仿宋" w:eastAsia="仿宋" w:cs="仿宋"/>
          <w:sz w:val="32"/>
          <w:szCs w:val="32"/>
          <w:highlight w:val="none"/>
          <w:lang w:val="en-US" w:eastAsia="zh-CN"/>
        </w:rPr>
        <w:t>年中绩效运行</w:t>
      </w:r>
      <w:r>
        <w:rPr>
          <w:rFonts w:hint="eastAsia" w:ascii="仿宋" w:hAnsi="仿宋" w:eastAsia="仿宋" w:cs="仿宋"/>
          <w:sz w:val="32"/>
          <w:szCs w:val="32"/>
          <w:lang w:val="en-US" w:eastAsia="zh-CN"/>
        </w:rPr>
        <w:t>监控节点完成值578所，本次实际完成值811所,</w:t>
      </w:r>
      <w:r>
        <w:rPr>
          <w:rFonts w:hint="eastAsia" w:ascii="仿宋" w:hAnsi="仿宋" w:eastAsia="仿宋" w:cs="仿宋"/>
          <w:sz w:val="32"/>
          <w:szCs w:val="32"/>
          <w:highlight w:val="none"/>
          <w:lang w:val="en-US" w:eastAsia="zh-CN"/>
        </w:rPr>
        <w:t>完成率115.9%,偏差率15.9%。</w:t>
      </w:r>
      <w:r>
        <w:rPr>
          <w:rFonts w:hint="eastAsia" w:ascii="仿宋" w:hAnsi="仿宋" w:eastAsia="仿宋" w:cs="仿宋"/>
          <w:sz w:val="32"/>
          <w:szCs w:val="32"/>
          <w:lang w:val="en-US" w:eastAsia="zh-CN"/>
        </w:rPr>
        <w:t>偏差原因：学校申报意愿强烈，符合标准学校较多。下一步措施：继续做好此项工作。</w:t>
      </w:r>
      <w:r>
        <w:rPr>
          <w:rFonts w:hint="eastAsia" w:ascii="仿宋" w:hAnsi="仿宋" w:eastAsia="仿宋" w:cs="仿宋"/>
          <w:sz w:val="32"/>
          <w:szCs w:val="32"/>
          <w:highlight w:val="none"/>
          <w:lang w:val="en-US" w:eastAsia="zh-CN"/>
        </w:rPr>
        <w:t>指标成效分析：通过评定体育传统特色学校，深入推进了体教融合工作，充分发挥相关学校的引领示范作用。</w:t>
      </w:r>
    </w:p>
    <w:p w14:paraId="60AE89B5">
      <w:pPr>
        <w:spacing w:line="540" w:lineRule="exact"/>
        <w:ind w:firstLine="579" w:firstLineChars="18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（七）数量指标7：打造国家体育产业基地数量,预期指标值≥1所，</w:t>
      </w:r>
      <w:r>
        <w:rPr>
          <w:rFonts w:hint="eastAsia" w:ascii="仿宋" w:hAnsi="仿宋" w:eastAsia="仿宋" w:cs="仿宋"/>
          <w:sz w:val="32"/>
          <w:szCs w:val="32"/>
          <w:highlight w:val="none"/>
          <w:lang w:val="en-US" w:eastAsia="zh-CN"/>
        </w:rPr>
        <w:t>年中绩效运行</w:t>
      </w:r>
      <w:r>
        <w:rPr>
          <w:rFonts w:hint="eastAsia" w:ascii="仿宋" w:hAnsi="仿宋" w:eastAsia="仿宋" w:cs="仿宋"/>
          <w:sz w:val="32"/>
          <w:szCs w:val="32"/>
          <w:lang w:val="en-US" w:eastAsia="zh-CN"/>
        </w:rPr>
        <w:t>监控节点完成值</w:t>
      </w:r>
      <w:r>
        <w:rPr>
          <w:rFonts w:hint="eastAsia" w:ascii="仿宋" w:hAnsi="仿宋" w:eastAsia="仿宋" w:cs="仿宋"/>
          <w:sz w:val="32"/>
          <w:szCs w:val="32"/>
          <w:highlight w:val="none"/>
          <w:lang w:val="en-US" w:eastAsia="zh-CN"/>
        </w:rPr>
        <w:t>0所，本次实际完成值0所,完成率0%,偏差率100%。偏差原因：按照国家体育总局有关</w:t>
      </w:r>
      <w:r>
        <w:rPr>
          <w:rFonts w:hint="eastAsia" w:ascii="仿宋" w:hAnsi="仿宋" w:eastAsia="仿宋" w:cs="仿宋"/>
          <w:sz w:val="32"/>
          <w:szCs w:val="32"/>
          <w:lang w:val="en-US" w:eastAsia="zh-CN"/>
        </w:rPr>
        <w:t>工作要求，2024年暂缓开展打造国家体育产业基地的工作。下一步措施：继续按照上级要求做好此项工作。</w:t>
      </w:r>
    </w:p>
    <w:p w14:paraId="0C8DA4D9">
      <w:pPr>
        <w:spacing w:line="540" w:lineRule="exact"/>
        <w:ind w:firstLine="579" w:firstLineChars="181"/>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（八）数量指标8：获评国家级体育旅游精品项目、体</w:t>
      </w:r>
      <w:r>
        <w:rPr>
          <w:rFonts w:hint="eastAsia" w:ascii="仿宋" w:hAnsi="仿宋" w:eastAsia="仿宋" w:cs="仿宋"/>
          <w:sz w:val="32"/>
          <w:szCs w:val="32"/>
          <w:highlight w:val="none"/>
          <w:lang w:val="en-US" w:eastAsia="zh-CN"/>
        </w:rPr>
        <w:t>育文化项目数量,预期指标值≥3项，年中绩效运行监控节点完成值0项，本次实际完成值4项，完成率133.3%,偏差率33.3%。偏差原因：按照国家体育总局有关</w:t>
      </w:r>
      <w:r>
        <w:rPr>
          <w:rFonts w:hint="eastAsia" w:ascii="仿宋" w:hAnsi="仿宋" w:eastAsia="仿宋" w:cs="仿宋"/>
          <w:sz w:val="32"/>
          <w:szCs w:val="32"/>
          <w:lang w:val="en-US" w:eastAsia="zh-CN"/>
        </w:rPr>
        <w:t>工作要求，推选新疆体育旅游精品项目，经过总局评审，实际获评项目4项。下一步措施：继续按照上级要求做好此项工作。</w:t>
      </w:r>
      <w:r>
        <w:rPr>
          <w:rFonts w:hint="eastAsia" w:ascii="仿宋" w:hAnsi="仿宋" w:eastAsia="仿宋" w:cs="仿宋"/>
          <w:sz w:val="32"/>
          <w:szCs w:val="32"/>
          <w:highlight w:val="none"/>
          <w:lang w:val="en-US" w:eastAsia="zh-CN"/>
        </w:rPr>
        <w:t>指标成效分析：通过推荐精品项目，进一步激发公众对体育旅游的热情，不仅丰富了游客体验，也推动了地方经济发展。</w:t>
      </w:r>
    </w:p>
    <w:p w14:paraId="1335BB16">
      <w:pPr>
        <w:spacing w:line="540" w:lineRule="exact"/>
        <w:ind w:firstLine="579" w:firstLineChars="181"/>
        <w:rPr>
          <w:rFonts w:hint="eastAsia" w:ascii="Times New Roman" w:hAnsi="Times New Roman" w:eastAsia="方正仿宋_GBK" w:cs="Times New Roman"/>
          <w:sz w:val="32"/>
          <w:szCs w:val="32"/>
          <w:highlight w:val="none"/>
          <w:lang w:val="en-US" w:eastAsia="zh-CN"/>
        </w:rPr>
      </w:pPr>
      <w:r>
        <w:rPr>
          <w:rFonts w:hint="eastAsia" w:ascii="仿宋" w:hAnsi="仿宋" w:eastAsia="仿宋" w:cs="仿宋"/>
          <w:sz w:val="32"/>
          <w:szCs w:val="32"/>
          <w:lang w:val="en-US" w:eastAsia="zh-CN"/>
        </w:rPr>
        <w:t>（九）社会效益指标：参加第十四届全国冬季运动会获得奖牌数量，预期指标值≥22块，</w:t>
      </w:r>
      <w:r>
        <w:rPr>
          <w:rFonts w:hint="eastAsia" w:ascii="仿宋" w:hAnsi="仿宋" w:eastAsia="仿宋" w:cs="仿宋"/>
          <w:sz w:val="32"/>
          <w:szCs w:val="32"/>
          <w:highlight w:val="none"/>
          <w:lang w:val="en-US" w:eastAsia="zh-CN"/>
        </w:rPr>
        <w:t>年中绩效运行</w:t>
      </w:r>
      <w:r>
        <w:rPr>
          <w:rFonts w:hint="eastAsia" w:ascii="仿宋" w:hAnsi="仿宋" w:eastAsia="仿宋" w:cs="仿宋"/>
          <w:sz w:val="32"/>
          <w:szCs w:val="32"/>
          <w:lang w:val="en-US" w:eastAsia="zh-CN"/>
        </w:rPr>
        <w:t>监控节点完成值35块，本次实际完成值35块，</w:t>
      </w:r>
      <w:r>
        <w:rPr>
          <w:rFonts w:hint="eastAsia" w:ascii="仿宋" w:hAnsi="仿宋" w:eastAsia="仿宋" w:cs="仿宋"/>
          <w:sz w:val="32"/>
          <w:szCs w:val="32"/>
          <w:highlight w:val="none"/>
          <w:lang w:val="en-US" w:eastAsia="zh-CN"/>
        </w:rPr>
        <w:t>完成率159.1%,偏差率59.1%。</w:t>
      </w:r>
      <w:r>
        <w:rPr>
          <w:rFonts w:hint="eastAsia" w:ascii="仿宋" w:hAnsi="仿宋" w:eastAsia="仿宋" w:cs="仿宋"/>
          <w:sz w:val="32"/>
          <w:szCs w:val="32"/>
          <w:lang w:val="en-US" w:eastAsia="zh-CN"/>
        </w:rPr>
        <w:t>偏差原因：运动员充分发挥，表现突出，荣获奖牌35块。下一步措施：继续加强我区运动员训练水平，争取下一届运动会有更好的表现。</w:t>
      </w:r>
      <w:r>
        <w:rPr>
          <w:rFonts w:hint="eastAsia" w:ascii="仿宋" w:hAnsi="仿宋" w:eastAsia="仿宋" w:cs="仿宋"/>
          <w:sz w:val="32"/>
          <w:szCs w:val="32"/>
          <w:highlight w:val="none"/>
          <w:lang w:val="en-US" w:eastAsia="zh-CN"/>
        </w:rPr>
        <w:t>指标成效分析：新疆体育健儿表现优异，共收获8枚金牌、15枚银牌和12枚铜牌的好成绩，充分展示了新疆冰雪运动的实力和成果，为国家冰雪运动高质量发展贡献新疆力量。</w:t>
      </w:r>
    </w:p>
    <w:p w14:paraId="221894FB">
      <w:pPr>
        <w:pStyle w:val="10"/>
        <w:numPr>
          <w:ilvl w:val="0"/>
          <w:numId w:val="1"/>
        </w:numPr>
        <w:snapToGrid w:val="0"/>
        <w:spacing w:line="540" w:lineRule="exact"/>
        <w:ind w:firstLineChars="0"/>
        <w:rPr>
          <w:rStyle w:val="7"/>
          <w:rFonts w:ascii="黑体" w:hAnsi="黑体" w:eastAsia="黑体"/>
          <w:b w:val="0"/>
          <w:bCs w:val="0"/>
          <w:spacing w:val="-4"/>
          <w:sz w:val="32"/>
          <w:szCs w:val="32"/>
        </w:rPr>
      </w:pPr>
      <w:r>
        <w:rPr>
          <w:rStyle w:val="7"/>
          <w:rFonts w:hint="eastAsia" w:ascii="黑体" w:hAnsi="黑体" w:eastAsia="黑体"/>
          <w:b w:val="0"/>
          <w:bCs w:val="0"/>
          <w:spacing w:val="-4"/>
          <w:sz w:val="32"/>
          <w:szCs w:val="32"/>
          <w:lang w:eastAsia="zh-CN"/>
        </w:rPr>
        <w:t>评价结论</w:t>
      </w:r>
    </w:p>
    <w:p w14:paraId="0722376B">
      <w:pPr>
        <w:spacing w:line="540" w:lineRule="exact"/>
        <w:ind w:firstLine="579" w:firstLineChars="181"/>
        <w:rPr>
          <w:rFonts w:hint="eastAsia" w:ascii="仿宋" w:hAnsi="仿宋" w:eastAsia="仿宋" w:cs="仿宋"/>
          <w:sz w:val="32"/>
          <w:szCs w:val="32"/>
          <w:highlight w:val="none"/>
          <w:lang w:val="en-US" w:eastAsia="zh-CN"/>
        </w:rPr>
      </w:pPr>
      <w:r>
        <w:rPr>
          <w:rFonts w:hint="eastAsia" w:ascii="仿宋" w:hAnsi="仿宋" w:eastAsia="仿宋" w:cs="仿宋"/>
          <w:sz w:val="32"/>
          <w:szCs w:val="32"/>
          <w:lang w:val="en-US" w:eastAsia="zh-CN"/>
        </w:rPr>
        <w:t>2024年度部门整体</w:t>
      </w:r>
      <w:r>
        <w:rPr>
          <w:rFonts w:hint="eastAsia" w:ascii="仿宋" w:hAnsi="仿宋" w:eastAsia="仿宋" w:cs="仿宋"/>
          <w:sz w:val="32"/>
          <w:szCs w:val="32"/>
          <w:highlight w:val="none"/>
          <w:lang w:val="en-US" w:eastAsia="zh-CN"/>
        </w:rPr>
        <w:t>支出绩效自评综合得分88.87分，评价结果为“良好”。</w:t>
      </w:r>
    </w:p>
    <w:p w14:paraId="0BE46560">
      <w:pPr>
        <w:pStyle w:val="10"/>
        <w:numPr>
          <w:ilvl w:val="0"/>
          <w:numId w:val="1"/>
        </w:numPr>
        <w:snapToGrid w:val="0"/>
        <w:spacing w:line="540" w:lineRule="exact"/>
        <w:ind w:firstLineChars="0"/>
        <w:rPr>
          <w:rStyle w:val="7"/>
          <w:rFonts w:ascii="黑体" w:hAnsi="黑体" w:eastAsia="黑体"/>
          <w:b w:val="0"/>
          <w:bCs w:val="0"/>
          <w:spacing w:val="-4"/>
          <w:sz w:val="32"/>
          <w:szCs w:val="32"/>
        </w:rPr>
      </w:pPr>
      <w:r>
        <w:rPr>
          <w:rStyle w:val="7"/>
          <w:rFonts w:hint="eastAsia" w:ascii="黑体" w:hAnsi="黑体" w:eastAsia="黑体"/>
          <w:b w:val="0"/>
          <w:bCs w:val="0"/>
          <w:spacing w:val="-4"/>
          <w:sz w:val="32"/>
          <w:szCs w:val="32"/>
        </w:rPr>
        <w:t>存在的主要问题</w:t>
      </w:r>
      <w:r>
        <w:rPr>
          <w:rStyle w:val="7"/>
          <w:rFonts w:hint="eastAsia" w:ascii="黑体" w:hAnsi="黑体" w:eastAsia="黑体"/>
          <w:b w:val="0"/>
          <w:bCs w:val="0"/>
          <w:spacing w:val="-4"/>
          <w:sz w:val="32"/>
          <w:szCs w:val="32"/>
          <w:lang w:eastAsia="zh-CN"/>
        </w:rPr>
        <w:t>及原因分析</w:t>
      </w:r>
    </w:p>
    <w:p w14:paraId="683F967C">
      <w:pPr>
        <w:pStyle w:val="10"/>
        <w:numPr>
          <w:ilvl w:val="0"/>
          <w:numId w:val="0"/>
        </w:numPr>
        <w:snapToGrid w:val="0"/>
        <w:spacing w:line="54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设置部门整体支出绩效目标表时，个别指标未能准确体现部门年度履职核心工作。主要原因是相关人员绩效管理意识不强，缺乏对岗位工作的深入了解，没有准确提炼出关键环节和核心成果，过于关注短期易量化和易达成的指标，忽视长期战略。</w:t>
      </w:r>
    </w:p>
    <w:p w14:paraId="349BD80D">
      <w:pPr>
        <w:pStyle w:val="10"/>
        <w:numPr>
          <w:ilvl w:val="0"/>
          <w:numId w:val="1"/>
        </w:numPr>
        <w:snapToGrid w:val="0"/>
        <w:spacing w:line="540" w:lineRule="exact"/>
        <w:ind w:firstLineChars="0"/>
        <w:rPr>
          <w:rStyle w:val="7"/>
          <w:rFonts w:ascii="黑体" w:hAnsi="黑体" w:eastAsia="黑体"/>
          <w:b w:val="0"/>
          <w:bCs w:val="0"/>
          <w:spacing w:val="-4"/>
          <w:sz w:val="32"/>
          <w:szCs w:val="32"/>
        </w:rPr>
      </w:pPr>
      <w:r>
        <w:rPr>
          <w:rStyle w:val="7"/>
          <w:rFonts w:hint="eastAsia" w:ascii="黑体" w:hAnsi="黑体" w:eastAsia="黑体"/>
          <w:b w:val="0"/>
          <w:bCs w:val="0"/>
          <w:spacing w:val="-4"/>
          <w:sz w:val="32"/>
          <w:szCs w:val="32"/>
        </w:rPr>
        <w:t>改进措施和建议</w:t>
      </w:r>
    </w:p>
    <w:p w14:paraId="3AFE76B7">
      <w:pPr>
        <w:pStyle w:val="10"/>
        <w:numPr>
          <w:ilvl w:val="0"/>
          <w:numId w:val="0"/>
        </w:numPr>
        <w:snapToGrid w:val="0"/>
        <w:spacing w:line="540" w:lineRule="exact"/>
        <w:ind w:firstLine="640" w:firstLineChars="200"/>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一是加强预算绩效目标管理工作，增强绩效管理意识，指导各部门单位科学合理编制预算，细化量化、可比可测的制定整体支出绩效目标，突出结果导向，重点考核实绩。</w:t>
      </w:r>
    </w:p>
    <w:p w14:paraId="6984BDE1">
      <w:pPr>
        <w:pStyle w:val="10"/>
        <w:numPr>
          <w:ilvl w:val="0"/>
          <w:numId w:val="0"/>
        </w:numPr>
        <w:snapToGrid w:val="0"/>
        <w:spacing w:line="540" w:lineRule="exact"/>
        <w:ind w:firstLine="640" w:firstLineChars="200"/>
        <w:rPr>
          <w:rStyle w:val="7"/>
          <w:rFonts w:hint="eastAsia" w:ascii="仿宋" w:hAnsi="仿宋" w:eastAsia="仿宋" w:cs="仿宋"/>
          <w:b w:val="0"/>
          <w:bCs w:val="0"/>
          <w:spacing w:val="-4"/>
          <w:sz w:val="32"/>
          <w:szCs w:val="32"/>
        </w:rPr>
      </w:pPr>
      <w:r>
        <w:rPr>
          <w:rFonts w:hint="eastAsia" w:ascii="仿宋" w:hAnsi="仿宋" w:eastAsia="仿宋" w:cs="仿宋"/>
          <w:kern w:val="2"/>
          <w:sz w:val="32"/>
          <w:szCs w:val="32"/>
          <w:lang w:val="en-US" w:eastAsia="zh-CN" w:bidi="ar-SA"/>
        </w:rPr>
        <w:t>二是加强相关人员绩效业务学习及培训，提高绩效管理意识，进一步加强预算绩效管理，有效推动我局下年度预算绩效管理取得新进展。</w:t>
      </w:r>
    </w:p>
    <w:p w14:paraId="19165F67">
      <w:pPr>
        <w:pStyle w:val="10"/>
        <w:numPr>
          <w:ilvl w:val="0"/>
          <w:numId w:val="1"/>
        </w:numPr>
        <w:snapToGrid w:val="0"/>
        <w:spacing w:line="540" w:lineRule="exact"/>
        <w:ind w:firstLineChars="0"/>
        <w:rPr>
          <w:rStyle w:val="7"/>
          <w:rFonts w:hint="eastAsia" w:ascii="仿宋" w:hAnsi="仿宋" w:eastAsia="仿宋" w:cs="仿宋"/>
          <w:b w:val="0"/>
          <w:spacing w:val="-4"/>
          <w:sz w:val="32"/>
          <w:szCs w:val="32"/>
        </w:rPr>
      </w:pPr>
      <w:r>
        <w:rPr>
          <w:rStyle w:val="7"/>
          <w:rFonts w:hint="eastAsia" w:ascii="黑体" w:hAnsi="黑体" w:eastAsia="黑体"/>
          <w:b w:val="0"/>
          <w:bCs w:val="0"/>
          <w:spacing w:val="-4"/>
          <w:sz w:val="32"/>
          <w:szCs w:val="32"/>
        </w:rPr>
        <w:t>附表：</w:t>
      </w:r>
      <w:r>
        <w:rPr>
          <w:rFonts w:hint="eastAsia" w:ascii="仿宋" w:hAnsi="仿宋" w:eastAsia="仿宋" w:cs="仿宋"/>
          <w:kern w:val="2"/>
          <w:sz w:val="32"/>
          <w:szCs w:val="32"/>
          <w:lang w:val="en-US" w:eastAsia="zh-CN" w:bidi="ar-SA"/>
        </w:rPr>
        <w:t>《部门整体支出绩效自评表》</w:t>
      </w:r>
    </w:p>
    <w:sectPr>
      <w:headerReference r:id="rId4" w:type="first"/>
      <w:footerReference r:id="rId6" w:type="first"/>
      <w:headerReference r:id="rId3" w:type="even"/>
      <w:footerReference r:id="rId5" w:type="even"/>
      <w:pgSz w:w="11906" w:h="16838"/>
      <w:pgMar w:top="1440" w:right="1800" w:bottom="1440" w:left="1800" w:header="851" w:footer="992" w:gutter="0"/>
      <w:pgNumType w:fmt="numberInDash" w:start="2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4D05268-3861-4E4A-AB94-478DA8C8839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embedRegular r:id="rId2" w:fontKey="{1B271EF9-76C4-447F-BB0D-F8479A1EDF09}"/>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embedRegular r:id="rId3" w:fontKey="{DF018B98-9CD1-4E29-9A7C-388482A05087}"/>
  </w:font>
  <w:font w:name="方正小标宋_GBK">
    <w:panose1 w:val="03000502000000000000"/>
    <w:charset w:val="86"/>
    <w:family w:val="script"/>
    <w:pitch w:val="default"/>
    <w:sig w:usb0="00000001" w:usb1="080E0000" w:usb2="00000000" w:usb3="00000000" w:csb0="00040000" w:csb1="00000000"/>
    <w:embedRegular r:id="rId4" w:fontKey="{A1E5AC47-F40C-4E3F-ACA5-938D25E73F7E}"/>
  </w:font>
  <w:font w:name="仿宋_GB2312">
    <w:panose1 w:val="02010609030101010101"/>
    <w:charset w:val="86"/>
    <w:family w:val="modern"/>
    <w:pitch w:val="default"/>
    <w:sig w:usb0="00000001" w:usb1="080E0000" w:usb2="00000000" w:usb3="00000000" w:csb0="00040000" w:csb1="00000000"/>
    <w:embedRegular r:id="rId5" w:fontKey="{1E4BEC1B-B445-40AE-8852-10C317EBB7BD}"/>
  </w:font>
  <w:font w:name="楷体">
    <w:panose1 w:val="02010609060101010101"/>
    <w:charset w:val="86"/>
    <w:family w:val="modern"/>
    <w:pitch w:val="default"/>
    <w:sig w:usb0="800002BF" w:usb1="38CF7CFA" w:usb2="00000016" w:usb3="00000000" w:csb0="00040001" w:csb1="00000000"/>
    <w:embedRegular r:id="rId6" w:fontKey="{8BD02B24-D8F4-47BD-BD6A-25DA44B01643}"/>
  </w:font>
  <w:font w:name="方正仿宋_GBK">
    <w:panose1 w:val="02000000000000000000"/>
    <w:charset w:val="86"/>
    <w:family w:val="auto"/>
    <w:pitch w:val="default"/>
    <w:sig w:usb0="A00002BF" w:usb1="38CF7CFA" w:usb2="00082016" w:usb3="00000000" w:csb0="00040001" w:csb1="00000000"/>
    <w:embedRegular r:id="rId7" w:fontKey="{8D4375B3-4A67-4538-A752-392B38308EB4}"/>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D6623">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A67CE9">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46F3D">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03D4E4">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A22C4C"/>
    <w:multiLevelType w:val="multilevel"/>
    <w:tmpl w:val="20A22C4C"/>
    <w:lvl w:ilvl="0" w:tentative="0">
      <w:start w:val="4"/>
      <w:numFmt w:val="japaneseCounting"/>
      <w:lvlText w:val="%1、"/>
      <w:lvlJc w:val="left"/>
      <w:pPr>
        <w:ind w:left="1360" w:hanging="720"/>
      </w:pPr>
      <w:rPr>
        <w:rFonts w:hint="default" w:ascii="黑体" w:hAnsi="黑体" w:eastAsia="黑体"/>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MWJjYzE4ODNiNThkZWIwZDQzYTExYzlhYzg5MTQifQ=="/>
    <w:docVar w:name="KSO_WPS_MARK_KEY" w:val="40e95650-004b-4697-ae2b-25bffeeac740"/>
  </w:docVars>
  <w:rsids>
    <w:rsidRoot w:val="00633862"/>
    <w:rsid w:val="000D3AFA"/>
    <w:rsid w:val="00191BA3"/>
    <w:rsid w:val="0022744B"/>
    <w:rsid w:val="005B1250"/>
    <w:rsid w:val="00633862"/>
    <w:rsid w:val="006C5BED"/>
    <w:rsid w:val="00702D4A"/>
    <w:rsid w:val="007115C8"/>
    <w:rsid w:val="00867FFD"/>
    <w:rsid w:val="0097614B"/>
    <w:rsid w:val="00AA5126"/>
    <w:rsid w:val="00AD16CD"/>
    <w:rsid w:val="00CD2F35"/>
    <w:rsid w:val="00DB1085"/>
    <w:rsid w:val="00EA14FA"/>
    <w:rsid w:val="00F84215"/>
    <w:rsid w:val="010E0C0C"/>
    <w:rsid w:val="016D0077"/>
    <w:rsid w:val="018A4696"/>
    <w:rsid w:val="02355837"/>
    <w:rsid w:val="02610413"/>
    <w:rsid w:val="02F163A2"/>
    <w:rsid w:val="02F520D1"/>
    <w:rsid w:val="02FE786C"/>
    <w:rsid w:val="03341650"/>
    <w:rsid w:val="03496CA5"/>
    <w:rsid w:val="036F2FCB"/>
    <w:rsid w:val="03B2599D"/>
    <w:rsid w:val="043C5F8E"/>
    <w:rsid w:val="049941F3"/>
    <w:rsid w:val="04A60F90"/>
    <w:rsid w:val="04D2103C"/>
    <w:rsid w:val="04D550AF"/>
    <w:rsid w:val="067207F3"/>
    <w:rsid w:val="06AE7B19"/>
    <w:rsid w:val="06B83B39"/>
    <w:rsid w:val="06DE29E2"/>
    <w:rsid w:val="07702E6D"/>
    <w:rsid w:val="07A86AAB"/>
    <w:rsid w:val="07C65825"/>
    <w:rsid w:val="08CA7A64"/>
    <w:rsid w:val="09067414"/>
    <w:rsid w:val="09170A81"/>
    <w:rsid w:val="0A042406"/>
    <w:rsid w:val="0AC27E84"/>
    <w:rsid w:val="0B0F5B25"/>
    <w:rsid w:val="0B633F8B"/>
    <w:rsid w:val="0BD256C9"/>
    <w:rsid w:val="0D3F0613"/>
    <w:rsid w:val="0D617282"/>
    <w:rsid w:val="0D7141C6"/>
    <w:rsid w:val="0E2A3E7D"/>
    <w:rsid w:val="0E4B2183"/>
    <w:rsid w:val="0EB3359B"/>
    <w:rsid w:val="0EEF0B2E"/>
    <w:rsid w:val="0EF63D03"/>
    <w:rsid w:val="0F661726"/>
    <w:rsid w:val="0F772EC6"/>
    <w:rsid w:val="0F877334"/>
    <w:rsid w:val="0FFD75C9"/>
    <w:rsid w:val="10182B28"/>
    <w:rsid w:val="10655AA5"/>
    <w:rsid w:val="109160DD"/>
    <w:rsid w:val="10947BCD"/>
    <w:rsid w:val="10BE4C49"/>
    <w:rsid w:val="110552F3"/>
    <w:rsid w:val="114B3E5E"/>
    <w:rsid w:val="115E3FEE"/>
    <w:rsid w:val="116B384E"/>
    <w:rsid w:val="11960C1C"/>
    <w:rsid w:val="11CD7934"/>
    <w:rsid w:val="11DD16C8"/>
    <w:rsid w:val="130A20A3"/>
    <w:rsid w:val="13352CE1"/>
    <w:rsid w:val="13E07D60"/>
    <w:rsid w:val="14D72B76"/>
    <w:rsid w:val="150177FB"/>
    <w:rsid w:val="15875F52"/>
    <w:rsid w:val="15B73666"/>
    <w:rsid w:val="15C30E4B"/>
    <w:rsid w:val="15C42D02"/>
    <w:rsid w:val="15D849BA"/>
    <w:rsid w:val="168A2EA6"/>
    <w:rsid w:val="17D5194F"/>
    <w:rsid w:val="180A4FDB"/>
    <w:rsid w:val="1840056E"/>
    <w:rsid w:val="18C977C0"/>
    <w:rsid w:val="192177D8"/>
    <w:rsid w:val="196A001E"/>
    <w:rsid w:val="198331C0"/>
    <w:rsid w:val="19C92FDD"/>
    <w:rsid w:val="19DB061A"/>
    <w:rsid w:val="19E576EB"/>
    <w:rsid w:val="19FF4562"/>
    <w:rsid w:val="19FF664E"/>
    <w:rsid w:val="1A091F78"/>
    <w:rsid w:val="1A2924B7"/>
    <w:rsid w:val="1A6D6D72"/>
    <w:rsid w:val="1AEB4D61"/>
    <w:rsid w:val="1B201E0F"/>
    <w:rsid w:val="1B4909F4"/>
    <w:rsid w:val="1C230AC0"/>
    <w:rsid w:val="1C4700FC"/>
    <w:rsid w:val="1C615CEF"/>
    <w:rsid w:val="1CBA4F51"/>
    <w:rsid w:val="1CDA72AF"/>
    <w:rsid w:val="1D632B53"/>
    <w:rsid w:val="1D7602A9"/>
    <w:rsid w:val="1DC83D3D"/>
    <w:rsid w:val="1E613949"/>
    <w:rsid w:val="1E9E2FB0"/>
    <w:rsid w:val="1EAE0073"/>
    <w:rsid w:val="1EBF357F"/>
    <w:rsid w:val="1F195A2C"/>
    <w:rsid w:val="1F3B094B"/>
    <w:rsid w:val="1F844F0F"/>
    <w:rsid w:val="205102FB"/>
    <w:rsid w:val="20762FC4"/>
    <w:rsid w:val="212C60E2"/>
    <w:rsid w:val="21DE15EF"/>
    <w:rsid w:val="22F23A25"/>
    <w:rsid w:val="23021A8B"/>
    <w:rsid w:val="2320540D"/>
    <w:rsid w:val="236E0539"/>
    <w:rsid w:val="23D44908"/>
    <w:rsid w:val="23E6478B"/>
    <w:rsid w:val="2422471A"/>
    <w:rsid w:val="24A85EE5"/>
    <w:rsid w:val="24B17F4B"/>
    <w:rsid w:val="24DB72C2"/>
    <w:rsid w:val="24F309A0"/>
    <w:rsid w:val="273C4EE5"/>
    <w:rsid w:val="276460F3"/>
    <w:rsid w:val="27660FAF"/>
    <w:rsid w:val="277166D1"/>
    <w:rsid w:val="277B4318"/>
    <w:rsid w:val="27B7194D"/>
    <w:rsid w:val="27CD66DB"/>
    <w:rsid w:val="27E34FFB"/>
    <w:rsid w:val="27E37B45"/>
    <w:rsid w:val="280600C8"/>
    <w:rsid w:val="28081174"/>
    <w:rsid w:val="28481571"/>
    <w:rsid w:val="28722F64"/>
    <w:rsid w:val="289B5D70"/>
    <w:rsid w:val="290A1EBC"/>
    <w:rsid w:val="296B40D0"/>
    <w:rsid w:val="29980ADF"/>
    <w:rsid w:val="29B460DC"/>
    <w:rsid w:val="29D532D8"/>
    <w:rsid w:val="29E74DB9"/>
    <w:rsid w:val="2A0B6FEB"/>
    <w:rsid w:val="2A2A3694"/>
    <w:rsid w:val="2A6B1740"/>
    <w:rsid w:val="2AA4545A"/>
    <w:rsid w:val="2AB71864"/>
    <w:rsid w:val="2AD30362"/>
    <w:rsid w:val="2B161A0E"/>
    <w:rsid w:val="2B1D67DB"/>
    <w:rsid w:val="2B2D4A4E"/>
    <w:rsid w:val="2B6F188B"/>
    <w:rsid w:val="2BCA3DF7"/>
    <w:rsid w:val="2BFA5278"/>
    <w:rsid w:val="2C3F44FD"/>
    <w:rsid w:val="2C8903AA"/>
    <w:rsid w:val="2CE43832"/>
    <w:rsid w:val="2D316C87"/>
    <w:rsid w:val="2D6A0D07"/>
    <w:rsid w:val="2DAA6B58"/>
    <w:rsid w:val="2E4A4A48"/>
    <w:rsid w:val="2F8715FA"/>
    <w:rsid w:val="2FB43990"/>
    <w:rsid w:val="2FC040E2"/>
    <w:rsid w:val="30143D58"/>
    <w:rsid w:val="30240D0F"/>
    <w:rsid w:val="308158E7"/>
    <w:rsid w:val="309817B5"/>
    <w:rsid w:val="30A86679"/>
    <w:rsid w:val="313A36E6"/>
    <w:rsid w:val="31505F30"/>
    <w:rsid w:val="3177520D"/>
    <w:rsid w:val="31C7249B"/>
    <w:rsid w:val="31FB7654"/>
    <w:rsid w:val="32565D7D"/>
    <w:rsid w:val="32A7786E"/>
    <w:rsid w:val="336E47B8"/>
    <w:rsid w:val="337D2302"/>
    <w:rsid w:val="33935522"/>
    <w:rsid w:val="33DE0EF4"/>
    <w:rsid w:val="3416678C"/>
    <w:rsid w:val="34486A39"/>
    <w:rsid w:val="34C13400"/>
    <w:rsid w:val="34F32864"/>
    <w:rsid w:val="35386E11"/>
    <w:rsid w:val="35612ABD"/>
    <w:rsid w:val="35E035B6"/>
    <w:rsid w:val="36B702D4"/>
    <w:rsid w:val="36F77DA1"/>
    <w:rsid w:val="375B2943"/>
    <w:rsid w:val="38066796"/>
    <w:rsid w:val="38086A4E"/>
    <w:rsid w:val="38C32119"/>
    <w:rsid w:val="38EE054F"/>
    <w:rsid w:val="39440A0C"/>
    <w:rsid w:val="398443D3"/>
    <w:rsid w:val="39A60AF6"/>
    <w:rsid w:val="3AA12D62"/>
    <w:rsid w:val="3B2319C9"/>
    <w:rsid w:val="3B5D5890"/>
    <w:rsid w:val="3BA6683D"/>
    <w:rsid w:val="3BC431AC"/>
    <w:rsid w:val="3C012639"/>
    <w:rsid w:val="3DA52B6A"/>
    <w:rsid w:val="3E833FCF"/>
    <w:rsid w:val="3EC32162"/>
    <w:rsid w:val="3EE3321B"/>
    <w:rsid w:val="3EE93EED"/>
    <w:rsid w:val="3F177A97"/>
    <w:rsid w:val="3FB24815"/>
    <w:rsid w:val="3FF57BF1"/>
    <w:rsid w:val="41590DEA"/>
    <w:rsid w:val="416C231C"/>
    <w:rsid w:val="41C31810"/>
    <w:rsid w:val="41CC7876"/>
    <w:rsid w:val="41D659E7"/>
    <w:rsid w:val="425F5317"/>
    <w:rsid w:val="428A15BF"/>
    <w:rsid w:val="42BB7663"/>
    <w:rsid w:val="432A3936"/>
    <w:rsid w:val="43403CE1"/>
    <w:rsid w:val="434765EB"/>
    <w:rsid w:val="43883C6E"/>
    <w:rsid w:val="43A3164E"/>
    <w:rsid w:val="43C43532"/>
    <w:rsid w:val="44332E1A"/>
    <w:rsid w:val="444D6BE2"/>
    <w:rsid w:val="44692B43"/>
    <w:rsid w:val="44BF2CE3"/>
    <w:rsid w:val="44BF6C07"/>
    <w:rsid w:val="44FB0BC1"/>
    <w:rsid w:val="458715A5"/>
    <w:rsid w:val="462C7B1B"/>
    <w:rsid w:val="463F394A"/>
    <w:rsid w:val="46BF2EEE"/>
    <w:rsid w:val="47013FF5"/>
    <w:rsid w:val="47B7079C"/>
    <w:rsid w:val="484A2C8B"/>
    <w:rsid w:val="48500FEB"/>
    <w:rsid w:val="491A0F78"/>
    <w:rsid w:val="49284D7B"/>
    <w:rsid w:val="49543DC1"/>
    <w:rsid w:val="4A0F39E7"/>
    <w:rsid w:val="4ABF34BD"/>
    <w:rsid w:val="4B364032"/>
    <w:rsid w:val="4B3B68BB"/>
    <w:rsid w:val="4B443785"/>
    <w:rsid w:val="4B537C75"/>
    <w:rsid w:val="4B9A7FA7"/>
    <w:rsid w:val="4BF65309"/>
    <w:rsid w:val="4C0D7EE7"/>
    <w:rsid w:val="4C431ECB"/>
    <w:rsid w:val="4C966ABB"/>
    <w:rsid w:val="4CC33C9F"/>
    <w:rsid w:val="4D2F2428"/>
    <w:rsid w:val="4DC50570"/>
    <w:rsid w:val="4E760D0B"/>
    <w:rsid w:val="4E8F65E3"/>
    <w:rsid w:val="4EC80245"/>
    <w:rsid w:val="4ED65AC3"/>
    <w:rsid w:val="4F596A69"/>
    <w:rsid w:val="50063DD3"/>
    <w:rsid w:val="505863A4"/>
    <w:rsid w:val="50591CBD"/>
    <w:rsid w:val="50A240F7"/>
    <w:rsid w:val="517D2C46"/>
    <w:rsid w:val="51971C1E"/>
    <w:rsid w:val="51FF2E33"/>
    <w:rsid w:val="525877BC"/>
    <w:rsid w:val="5272504D"/>
    <w:rsid w:val="52CA50F4"/>
    <w:rsid w:val="530E7C08"/>
    <w:rsid w:val="543D24BF"/>
    <w:rsid w:val="548754B8"/>
    <w:rsid w:val="54CA318A"/>
    <w:rsid w:val="54D70849"/>
    <w:rsid w:val="55517AB0"/>
    <w:rsid w:val="55C71477"/>
    <w:rsid w:val="57192BB8"/>
    <w:rsid w:val="5734671F"/>
    <w:rsid w:val="57423EBA"/>
    <w:rsid w:val="57813298"/>
    <w:rsid w:val="57825F9E"/>
    <w:rsid w:val="57BB500C"/>
    <w:rsid w:val="58753EBA"/>
    <w:rsid w:val="58E426FC"/>
    <w:rsid w:val="58EA724C"/>
    <w:rsid w:val="58FC3B2E"/>
    <w:rsid w:val="59063548"/>
    <w:rsid w:val="59FB7924"/>
    <w:rsid w:val="5A6776CD"/>
    <w:rsid w:val="5ADD1E8F"/>
    <w:rsid w:val="5AE6303A"/>
    <w:rsid w:val="5B155A7C"/>
    <w:rsid w:val="5B442B97"/>
    <w:rsid w:val="5B977B3E"/>
    <w:rsid w:val="5C042D63"/>
    <w:rsid w:val="5C5B0B6B"/>
    <w:rsid w:val="5CB643E4"/>
    <w:rsid w:val="5D8075D8"/>
    <w:rsid w:val="5D8D11F8"/>
    <w:rsid w:val="5E2D5305"/>
    <w:rsid w:val="5F1D65AC"/>
    <w:rsid w:val="5F230066"/>
    <w:rsid w:val="5F814D8D"/>
    <w:rsid w:val="5FA47678"/>
    <w:rsid w:val="5FB04B27"/>
    <w:rsid w:val="5FE455B0"/>
    <w:rsid w:val="60453F52"/>
    <w:rsid w:val="60504E56"/>
    <w:rsid w:val="60535261"/>
    <w:rsid w:val="627A5057"/>
    <w:rsid w:val="62A033DD"/>
    <w:rsid w:val="62B113CD"/>
    <w:rsid w:val="62BC156A"/>
    <w:rsid w:val="62D376AD"/>
    <w:rsid w:val="63002758"/>
    <w:rsid w:val="63453F53"/>
    <w:rsid w:val="634C50C6"/>
    <w:rsid w:val="63886101"/>
    <w:rsid w:val="63E072F9"/>
    <w:rsid w:val="63E738F2"/>
    <w:rsid w:val="63F815B2"/>
    <w:rsid w:val="648B2856"/>
    <w:rsid w:val="64AD2180"/>
    <w:rsid w:val="64F46001"/>
    <w:rsid w:val="65534217"/>
    <w:rsid w:val="658E5B0E"/>
    <w:rsid w:val="65D86017"/>
    <w:rsid w:val="65E6594A"/>
    <w:rsid w:val="660E1EAC"/>
    <w:rsid w:val="661600DA"/>
    <w:rsid w:val="66DF5346"/>
    <w:rsid w:val="66E14AAB"/>
    <w:rsid w:val="6736630B"/>
    <w:rsid w:val="67EE0E11"/>
    <w:rsid w:val="687306F3"/>
    <w:rsid w:val="68DF3109"/>
    <w:rsid w:val="693365A4"/>
    <w:rsid w:val="693F2885"/>
    <w:rsid w:val="699F5DE9"/>
    <w:rsid w:val="6A9776F8"/>
    <w:rsid w:val="6AAF0A00"/>
    <w:rsid w:val="6AEF34F2"/>
    <w:rsid w:val="6B046820"/>
    <w:rsid w:val="6B234F4A"/>
    <w:rsid w:val="6C036BBA"/>
    <w:rsid w:val="6C5F0204"/>
    <w:rsid w:val="6C69186D"/>
    <w:rsid w:val="6C7D443F"/>
    <w:rsid w:val="6C8851EE"/>
    <w:rsid w:val="6CCF1622"/>
    <w:rsid w:val="6CE7035E"/>
    <w:rsid w:val="6DB1246A"/>
    <w:rsid w:val="6E7538B1"/>
    <w:rsid w:val="6EAE5472"/>
    <w:rsid w:val="6F405510"/>
    <w:rsid w:val="6F8A16B4"/>
    <w:rsid w:val="702F5608"/>
    <w:rsid w:val="708F2CC4"/>
    <w:rsid w:val="709444F0"/>
    <w:rsid w:val="710913DD"/>
    <w:rsid w:val="71182116"/>
    <w:rsid w:val="71205936"/>
    <w:rsid w:val="71477CCB"/>
    <w:rsid w:val="7178018F"/>
    <w:rsid w:val="71811919"/>
    <w:rsid w:val="71B63709"/>
    <w:rsid w:val="71BA40BB"/>
    <w:rsid w:val="71CD052F"/>
    <w:rsid w:val="7201751D"/>
    <w:rsid w:val="72BB1ECB"/>
    <w:rsid w:val="72CB4E89"/>
    <w:rsid w:val="73740A39"/>
    <w:rsid w:val="741575E8"/>
    <w:rsid w:val="742B746E"/>
    <w:rsid w:val="74736F42"/>
    <w:rsid w:val="74CA7F29"/>
    <w:rsid w:val="75112783"/>
    <w:rsid w:val="752B1D3E"/>
    <w:rsid w:val="75913D16"/>
    <w:rsid w:val="763C0048"/>
    <w:rsid w:val="77135965"/>
    <w:rsid w:val="77262B54"/>
    <w:rsid w:val="772D4414"/>
    <w:rsid w:val="773A5C43"/>
    <w:rsid w:val="775947BB"/>
    <w:rsid w:val="77AD276B"/>
    <w:rsid w:val="77B87094"/>
    <w:rsid w:val="77C96E08"/>
    <w:rsid w:val="77FF035B"/>
    <w:rsid w:val="789E2748"/>
    <w:rsid w:val="79500F4C"/>
    <w:rsid w:val="7986195D"/>
    <w:rsid w:val="79A00AB5"/>
    <w:rsid w:val="79E005EE"/>
    <w:rsid w:val="7A044DC4"/>
    <w:rsid w:val="7A865511"/>
    <w:rsid w:val="7AA20E97"/>
    <w:rsid w:val="7AAA4D40"/>
    <w:rsid w:val="7ABC4A73"/>
    <w:rsid w:val="7AC10876"/>
    <w:rsid w:val="7B2F16E9"/>
    <w:rsid w:val="7B334ED0"/>
    <w:rsid w:val="7C4B6886"/>
    <w:rsid w:val="7C71236F"/>
    <w:rsid w:val="7C7766B6"/>
    <w:rsid w:val="7C7B25BC"/>
    <w:rsid w:val="7C8D2B6B"/>
    <w:rsid w:val="7D55069E"/>
    <w:rsid w:val="7D670C49"/>
    <w:rsid w:val="7D711B45"/>
    <w:rsid w:val="7E5F5E41"/>
    <w:rsid w:val="7E78432D"/>
    <w:rsid w:val="7E8E02D3"/>
    <w:rsid w:val="7EA902C5"/>
    <w:rsid w:val="7EAA3560"/>
    <w:rsid w:val="7ECF553C"/>
    <w:rsid w:val="7EF10E29"/>
    <w:rsid w:val="7FB3644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0"/>
    <w:pPr>
      <w:keepNext/>
      <w:keepLines/>
      <w:spacing w:line="560" w:lineRule="exact"/>
      <w:outlineLvl w:val="2"/>
    </w:pPr>
    <w:rPr>
      <w:b/>
      <w:bCs/>
      <w:sz w:val="32"/>
      <w:szCs w:val="32"/>
    </w:rPr>
  </w:style>
  <w:style w:type="character" w:default="1" w:styleId="6">
    <w:name w:val="Default Paragraph Font"/>
    <w:autoRedefine/>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autoRedefine/>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Strong"/>
    <w:basedOn w:val="6"/>
    <w:autoRedefine/>
    <w:qFormat/>
    <w:uiPriority w:val="0"/>
    <w:rPr>
      <w:b/>
      <w:bCs/>
    </w:rPr>
  </w:style>
  <w:style w:type="character" w:customStyle="1" w:styleId="8">
    <w:name w:val="页眉 Char"/>
    <w:basedOn w:val="6"/>
    <w:link w:val="4"/>
    <w:autoRedefine/>
    <w:qFormat/>
    <w:uiPriority w:val="99"/>
    <w:rPr>
      <w:sz w:val="18"/>
      <w:szCs w:val="18"/>
    </w:rPr>
  </w:style>
  <w:style w:type="character" w:customStyle="1" w:styleId="9">
    <w:name w:val="页脚 Char"/>
    <w:basedOn w:val="6"/>
    <w:link w:val="3"/>
    <w:qFormat/>
    <w:uiPriority w:val="99"/>
    <w:rPr>
      <w:sz w:val="18"/>
      <w:szCs w:val="18"/>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18</Pages>
  <Words>8994</Words>
  <Characters>9453</Characters>
  <Lines>9</Lines>
  <Paragraphs>2</Paragraphs>
  <TotalTime>4</TotalTime>
  <ScaleCrop>false</ScaleCrop>
  <LinksUpToDate>false</LinksUpToDate>
  <CharactersWithSpaces>9486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2019-01-16T17:12:00Z</dcterms:created>
  <dc:creator>jc</dc:creator>
  <cp:lastModifiedBy>左先生</cp:lastModifiedBy>
  <cp:lastPrinted>2025-04-11T09:21:00Z</cp:lastPrinted>
  <dcterms:modified xsi:type="dcterms:W3CDTF">2025-04-11T10:26:34Z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80E5974451BB48CA8D63F5E4718845A7_13</vt:lpwstr>
  </property>
  <property fmtid="{D5CDD505-2E9C-101B-9397-08002B2CF9AE}" pid="4" name="KSOTemplateDocerSaveRecord">
    <vt:lpwstr>eyJoZGlkIjoiM2Q2MWJjYzE4ODNiNThkZWIwZDQzYTExYzlhYzg5MTQifQ==</vt:lpwstr>
  </property>
</Properties>
</file>