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keepLines w:val="0"/>
        <w:pageBreakBefore w:val="0"/>
        <w:kinsoku/>
        <w:wordWrap/>
        <w:overflowPunct/>
        <w:topLinePunct w:val="0"/>
        <w:autoSpaceDE/>
        <w:autoSpaceDN/>
        <w:bidi w:val="0"/>
        <w:adjustRightInd/>
        <w:snapToGrid/>
        <w:spacing w:line="600" w:lineRule="exact"/>
        <w:ind w:left="0" w:leftChars="0" w:right="0" w:rightChars="0" w:firstLine="723" w:firstLineChars="200"/>
        <w:jc w:val="center"/>
        <w:textAlignment w:val="auto"/>
        <w:rPr>
          <w:rFonts w:hint="eastAsia" w:ascii="宋体" w:hAnsi="宋体" w:eastAsia="宋体" w:cs="Arial"/>
          <w:b/>
          <w:bCs/>
          <w:sz w:val="36"/>
          <w:szCs w:val="36"/>
          <w:highlight w:val="none"/>
        </w:rPr>
      </w:pPr>
    </w:p>
    <w:p w14:paraId="624A3D14">
      <w:pPr>
        <w:keepLines w:val="0"/>
        <w:pageBreakBefore w:val="0"/>
        <w:kinsoku/>
        <w:wordWrap/>
        <w:overflowPunct/>
        <w:topLinePunct w:val="0"/>
        <w:autoSpaceDE/>
        <w:autoSpaceDN/>
        <w:bidi w:val="0"/>
        <w:adjustRightInd/>
        <w:snapToGrid/>
        <w:spacing w:line="600" w:lineRule="exact"/>
        <w:ind w:left="0" w:leftChars="0" w:right="0" w:rightChars="0" w:firstLine="883" w:firstLineChars="20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keepLines w:val="0"/>
        <w:pageBreakBefore w:val="0"/>
        <w:kinsoku/>
        <w:wordWrap/>
        <w:overflowPunct/>
        <w:topLinePunct w:val="0"/>
        <w:autoSpaceDE/>
        <w:autoSpaceDN/>
        <w:bidi w:val="0"/>
        <w:adjustRightInd/>
        <w:snapToGrid/>
        <w:spacing w:line="600" w:lineRule="exact"/>
        <w:ind w:left="0" w:leftChars="0" w:right="0" w:rightChars="0" w:firstLine="720" w:firstLineChars="20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2"/>
        <w:keepLines w:val="0"/>
        <w:pageBreakBefore w:val="0"/>
        <w:kinsoku/>
        <w:wordWrap/>
        <w:overflowPunct/>
        <w:topLinePunct w:val="0"/>
        <w:autoSpaceDE/>
        <w:autoSpaceDN/>
        <w:bidi w:val="0"/>
        <w:adjustRightInd/>
        <w:snapToGrid/>
        <w:spacing w:before="0" w:after="0"/>
        <w:ind w:left="0" w:right="0" w:rightChars="0" w:firstLine="723" w:firstLineChars="200"/>
        <w:textAlignment w:val="auto"/>
        <w:rPr>
          <w:rFonts w:hint="eastAsia" w:ascii="Times New Roman" w:hAnsi="宋体" w:cs="宋体"/>
          <w:color w:val="auto"/>
          <w:kern w:val="0"/>
          <w:sz w:val="36"/>
          <w:szCs w:val="36"/>
          <w:highlight w:val="none"/>
          <w:lang w:eastAsia="zh-CN"/>
        </w:rPr>
      </w:pPr>
    </w:p>
    <w:p w14:paraId="6105E3E5">
      <w:pPr>
        <w:keepLines w:val="0"/>
        <w:pageBreakBefore w:val="0"/>
        <w:kinsoku/>
        <w:wordWrap/>
        <w:overflowPunct/>
        <w:topLinePunct w:val="0"/>
        <w:autoSpaceDE/>
        <w:autoSpaceDN/>
        <w:bidi w:val="0"/>
        <w:adjustRightInd/>
        <w:snapToGrid/>
        <w:ind w:left="0" w:right="0" w:rightChars="0" w:firstLine="720" w:firstLineChars="200"/>
        <w:textAlignment w:val="auto"/>
        <w:rPr>
          <w:rFonts w:hint="eastAsia" w:ascii="Times New Roman" w:hAnsi="宋体" w:cs="宋体"/>
          <w:color w:val="auto"/>
          <w:kern w:val="0"/>
          <w:sz w:val="36"/>
          <w:szCs w:val="36"/>
          <w:highlight w:val="none"/>
          <w:lang w:eastAsia="zh-CN"/>
        </w:rPr>
      </w:pPr>
    </w:p>
    <w:p w14:paraId="1F7AB263">
      <w:pPr>
        <w:pStyle w:val="2"/>
        <w:keepLines w:val="0"/>
        <w:pageBreakBefore w:val="0"/>
        <w:kinsoku/>
        <w:wordWrap/>
        <w:overflowPunct/>
        <w:topLinePunct w:val="0"/>
        <w:autoSpaceDE/>
        <w:autoSpaceDN/>
        <w:bidi w:val="0"/>
        <w:adjustRightInd/>
        <w:snapToGrid/>
        <w:spacing w:before="0" w:after="0"/>
        <w:ind w:left="0" w:right="0" w:rightChars="0" w:firstLine="723" w:firstLineChars="200"/>
        <w:textAlignment w:val="auto"/>
        <w:rPr>
          <w:rFonts w:hint="eastAsia" w:ascii="Times New Roman" w:hAnsi="宋体" w:cs="宋体"/>
          <w:color w:val="auto"/>
          <w:kern w:val="0"/>
          <w:sz w:val="36"/>
          <w:szCs w:val="36"/>
          <w:highlight w:val="none"/>
          <w:lang w:eastAsia="zh-CN"/>
        </w:rPr>
      </w:pPr>
    </w:p>
    <w:p w14:paraId="5B37ADB9">
      <w:pPr>
        <w:pStyle w:val="2"/>
        <w:keepLines w:val="0"/>
        <w:pageBreakBefore w:val="0"/>
        <w:kinsoku/>
        <w:wordWrap/>
        <w:overflowPunct/>
        <w:topLinePunct w:val="0"/>
        <w:autoSpaceDE/>
        <w:autoSpaceDN/>
        <w:bidi w:val="0"/>
        <w:adjustRightInd/>
        <w:snapToGrid/>
        <w:spacing w:before="0" w:after="0"/>
        <w:ind w:left="0" w:right="0" w:rightChars="0" w:firstLine="602" w:firstLineChars="200"/>
        <w:textAlignment w:val="auto"/>
        <w:rPr>
          <w:rFonts w:hint="eastAsia"/>
          <w:highlight w:val="none"/>
          <w:lang w:eastAsia="zh-CN"/>
        </w:rPr>
      </w:pPr>
    </w:p>
    <w:p w14:paraId="25C62AAF">
      <w:pPr>
        <w:keepLines w:val="0"/>
        <w:pageBreakBefore w:val="0"/>
        <w:kinsoku/>
        <w:wordWrap/>
        <w:overflowPunct/>
        <w:topLinePunct w:val="0"/>
        <w:autoSpaceDE/>
        <w:autoSpaceDN/>
        <w:bidi w:val="0"/>
        <w:adjustRightInd/>
        <w:snapToGrid/>
        <w:ind w:left="0" w:right="0" w:rightChars="0" w:firstLine="640" w:firstLineChars="200"/>
        <w:jc w:val="both"/>
        <w:textAlignment w:val="auto"/>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val="en-US" w:eastAsia="zh-CN"/>
        </w:rPr>
        <w:t>体育产业研究及保障经费项目</w:t>
      </w:r>
    </w:p>
    <w:p w14:paraId="18B1EC90">
      <w:pPr>
        <w:keepLines w:val="0"/>
        <w:pageBreakBefore w:val="0"/>
        <w:kinsoku/>
        <w:wordWrap/>
        <w:overflowPunct/>
        <w:topLinePunct w:val="0"/>
        <w:autoSpaceDE/>
        <w:autoSpaceDN/>
        <w:bidi w:val="0"/>
        <w:adjustRightInd/>
        <w:snapToGrid/>
        <w:ind w:left="0" w:right="0" w:rightChars="0" w:firstLine="640" w:firstLineChars="200"/>
        <w:jc w:val="left"/>
        <w:textAlignment w:val="auto"/>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新疆维吾尔自治区体育局体育产业发展中心</w:t>
      </w:r>
    </w:p>
    <w:p w14:paraId="41628B3C">
      <w:pPr>
        <w:keepLines w:val="0"/>
        <w:pageBreakBefore w:val="0"/>
        <w:kinsoku/>
        <w:wordWrap/>
        <w:overflowPunct/>
        <w:topLinePunct w:val="0"/>
        <w:autoSpaceDE/>
        <w:autoSpaceDN/>
        <w:bidi w:val="0"/>
        <w:adjustRightInd/>
        <w:snapToGrid/>
        <w:ind w:left="0" w:right="0" w:rightChars="0" w:firstLine="640" w:firstLineChars="200"/>
        <w:jc w:val="both"/>
        <w:textAlignment w:val="auto"/>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keepLines w:val="0"/>
        <w:pageBreakBefore w:val="0"/>
        <w:kinsoku/>
        <w:wordWrap/>
        <w:overflowPunct/>
        <w:topLinePunct w:val="0"/>
        <w:autoSpaceDE/>
        <w:autoSpaceDN/>
        <w:bidi w:val="0"/>
        <w:adjustRightInd/>
        <w:snapToGrid/>
        <w:ind w:left="0" w:right="0" w:rightChars="0" w:firstLine="640" w:firstLineChars="200"/>
        <w:jc w:val="both"/>
        <w:textAlignment w:val="auto"/>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：董亮</w:t>
      </w:r>
    </w:p>
    <w:p w14:paraId="3EC6C2A1">
      <w:pPr>
        <w:keepLines w:val="0"/>
        <w:pageBreakBefore w:val="0"/>
        <w:kinsoku/>
        <w:wordWrap/>
        <w:overflowPunct/>
        <w:topLinePunct w:val="0"/>
        <w:autoSpaceDE/>
        <w:autoSpaceDN/>
        <w:bidi w:val="0"/>
        <w:adjustRightInd/>
        <w:snapToGrid/>
        <w:ind w:left="0" w:right="0" w:rightChars="0" w:firstLine="640" w:firstLineChars="200"/>
        <w:textAlignment w:val="auto"/>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18</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keepLines w:val="0"/>
        <w:pageBreakBefore w:val="0"/>
        <w:kinsoku/>
        <w:wordWrap/>
        <w:overflowPunct/>
        <w:topLinePunct w:val="0"/>
        <w:autoSpaceDE/>
        <w:autoSpaceDN/>
        <w:bidi w:val="0"/>
        <w:adjustRightInd/>
        <w:snapToGrid/>
        <w:spacing w:line="600" w:lineRule="exact"/>
        <w:ind w:left="0" w:leftChars="0" w:right="0" w:righ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（一）项目概况。</w:t>
      </w:r>
    </w:p>
    <w:p w14:paraId="1F86A9F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020986E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本项目旨在深入贯彻《关于促进全民健身和体育消费推动体育产业高质量发展的意见》（国办发〔2019〕43号）文件精神，聚焦新疆体育产业的发展现状与未来趋势，通过系统开展全面的体育产业调研及</w:t>
      </w:r>
      <w:r>
        <w:rPr>
          <w:rFonts w:hint="eastAsia" w:ascii="仿宋_GB2312" w:hAnsi="仿宋_GB2312" w:cs="仿宋_GB2312"/>
          <w:color w:val="auto"/>
          <w:sz w:val="32"/>
          <w:szCs w:val="32"/>
          <w:highlight w:val="none"/>
          <w:lang w:val="en-US" w:eastAsia="zh-CN"/>
        </w:rPr>
        <w:t>相关</w:t>
      </w:r>
      <w:r>
        <w:rPr>
          <w:rFonts w:hint="eastAsia" w:ascii="仿宋_GB2312" w:hAnsi="仿宋_GB2312" w:eastAsia="仿宋_GB2312" w:cs="仿宋_GB2312"/>
          <w:color w:val="auto"/>
          <w:sz w:val="32"/>
          <w:szCs w:val="32"/>
          <w:highlight w:val="none"/>
          <w:lang w:val="en-US" w:eastAsia="zh-CN"/>
        </w:rPr>
        <w:t>的课题研究，形成详实的课题研究报告。该项目致力于精确把握我区体育产业的主要特点、发展优势及其面临的问题，评估现有产业政策的有效性，并探索适合本地发展的路径和策略。旨在为新疆体育产业提供科学决策依据，优化资源配置，挖掘发展潜力，增强市场竞争力，从而促进体育与文化、旅游等多领域深度融合，助力新疆体育产业实现高质量发展，满足人民群众日益增长的多样化体育需求，推动健康新疆建设迈向新台阶。</w:t>
      </w:r>
    </w:p>
    <w:p w14:paraId="0282264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7705E46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体育产业发展研究及保障经费主要</w:t>
      </w:r>
      <w:r>
        <w:rPr>
          <w:rFonts w:hint="eastAsia" w:ascii="仿宋_GB2312" w:hAnsi="仿宋_GB2312" w:cs="仿宋_GB2312"/>
          <w:color w:val="auto"/>
          <w:sz w:val="32"/>
          <w:szCs w:val="32"/>
          <w:highlight w:val="none"/>
          <w:lang w:val="en-US" w:eastAsia="zh-CN"/>
        </w:rPr>
        <w:t>旨在通过深入实施《2023年全区居民体育消费调查研究》、《兵地融合背景下新疆体育产业发展趋势研究》、《新疆冰雪综合效益分析》等八项课题研究，全面掌握新疆体育产业的发展现状与未来趋势，为科学决策提供坚实依据。我们将特别关注体育消费模式、区域融合发展、冰雪经济、大型赛事经济效益、户外运动可持续性、少数民族传统体育价值等领域，以补足理论研究短板，推动理论与实践相结合。同时，加大线上线下结合的体育产业人才培养力度，培育符合新疆实际情况的复合型人才，为实现体育产业高质量发展提供强有力的人才和技术支撑。</w:t>
      </w:r>
    </w:p>
    <w:p w14:paraId="2698EFA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75</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67.03</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89.37%</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3D20A17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目标1：通过开展体育产业调研工作至少1次，开展体育相关课题研究次数至少2次。完成课题研究报告不少于2个，进一步了解我区体育产业发展现状以及未来发展趋势。目标2：通过开展体育产业相关课题研究工作，为进一步了我区体育产业发展现状、主要特点、发展优势、存在问题、产业政策、发展前景等方面情况，为新疆体育产业的高质量发展提供助力。</w:t>
      </w:r>
    </w:p>
    <w:p w14:paraId="6DAA76C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keepLines w:val="0"/>
        <w:pageBreakBefore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 w:hAnsi="仿宋" w:eastAsia="仿宋" w:cs="仿宋"/>
          <w:color w:val="auto"/>
          <w:kern w:val="0"/>
          <w:sz w:val="32"/>
          <w:szCs w:val="32"/>
          <w:highlight w:val="none"/>
          <w:lang w:val="en-US" w:eastAsia="zh-CN"/>
        </w:rPr>
        <w:t>体育产业研究及保障经费项目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keepLines w:val="0"/>
        <w:pageBreakBefore w:val="0"/>
        <w:kinsoku/>
        <w:wordWrap/>
        <w:overflowPunct/>
        <w:topLinePunct w:val="0"/>
        <w:autoSpaceDE/>
        <w:autoSpaceDN/>
        <w:bidi w:val="0"/>
        <w:adjustRightInd/>
        <w:snapToGrid/>
        <w:spacing w:line="600" w:lineRule="exact"/>
        <w:ind w:left="0" w:leftChars="0" w:right="0" w:righ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6347989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p>
    <w:p w14:paraId="41F60ED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经认真对照《项目支出绩效评价指标体系》，我单位体育产业发展研究及保障经费项目指标都较好地达到了相关要求，项目评价得分：9</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国务院办公厅关于加快发展体育产业的指导意见》（国办发﹝2010﹞22号）《关于促进全民健身和体育消费推动体育产业高质量发展的实施意见》（新政办发﹝2020﹞56号），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8个</w:t>
      </w:r>
      <w:r>
        <w:rPr>
          <w:rFonts w:hint="eastAsia" w:ascii="仿宋_GB2312" w:hAnsi="仿宋_GB2312" w:eastAsia="仿宋_GB2312" w:cs="仿宋_GB2312"/>
          <w:color w:val="auto"/>
          <w:sz w:val="32"/>
          <w:szCs w:val="32"/>
          <w:highlight w:val="none"/>
          <w:lang w:val="en-US" w:eastAsia="zh-CN"/>
        </w:rPr>
        <w:t>。项目绩效目标与实际工作内容具有相关性；项目预期产出效益和效果符合正常的业绩水平；与预算确定的项目投资额或资金量相匹配。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75215EE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开展体育产业调研工作次数≥1次、开展体育相关课题研究次数≥1次</w:t>
      </w:r>
      <w:r>
        <w:rPr>
          <w:rFonts w:hint="eastAsia" w:ascii="仿宋_GB2312" w:hAnsi="仿宋_GB2312" w:eastAsia="仿宋_GB2312" w:cs="仿宋_GB2312"/>
          <w:color w:val="auto"/>
          <w:sz w:val="32"/>
          <w:szCs w:val="32"/>
          <w:highlight w:val="none"/>
          <w:lang w:val="en-US" w:eastAsia="zh-CN"/>
        </w:rPr>
        <w:t>。</w:t>
      </w:r>
    </w:p>
    <w:p w14:paraId="10053DA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：体育产业调研覆盖率</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w:t>
      </w:r>
    </w:p>
    <w:p w14:paraId="4DCD2EB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时效指标：体育产业调研及时率</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w:t>
      </w:r>
    </w:p>
    <w:p w14:paraId="60F6089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开展体育产业相关课题研究成本≤50万元、开展体育产业发展相关工作成本≤25万元</w:t>
      </w:r>
      <w:r>
        <w:rPr>
          <w:rFonts w:hint="eastAsia" w:ascii="仿宋_GB2312" w:hAnsi="仿宋_GB2312" w:eastAsia="仿宋_GB2312" w:cs="仿宋_GB2312"/>
          <w:color w:val="auto"/>
          <w:sz w:val="32"/>
          <w:szCs w:val="32"/>
          <w:highlight w:val="none"/>
          <w:lang w:val="en-US" w:eastAsia="zh-CN"/>
        </w:rPr>
        <w:t>。</w:t>
      </w:r>
    </w:p>
    <w:p w14:paraId="7BEB02A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社会效益指标</w:t>
      </w:r>
      <w:r>
        <w:rPr>
          <w:rFonts w:hint="eastAsia" w:ascii="仿宋_GB2312" w:hAnsi="仿宋_GB2312" w:eastAsia="仿宋_GB2312" w:cs="仿宋_GB2312"/>
          <w:color w:val="auto"/>
          <w:sz w:val="32"/>
          <w:szCs w:val="32"/>
          <w:highlight w:val="none"/>
          <w:lang w:val="en-US" w:eastAsia="zh-CN"/>
        </w:rPr>
        <w:t>：形成课题研究报告数</w:t>
      </w:r>
      <w:r>
        <w:rPr>
          <w:rFonts w:hint="eastAsia" w:ascii="仿宋_GB2312" w:hAnsi="仿宋_GB2312" w:cs="仿宋_GB2312"/>
          <w:color w:val="auto"/>
          <w:sz w:val="32"/>
          <w:szCs w:val="32"/>
          <w:highlight w:val="none"/>
          <w:lang w:val="en-US" w:eastAsia="zh-CN"/>
        </w:rPr>
        <w:t>≥2个。</w:t>
      </w:r>
    </w:p>
    <w:p w14:paraId="3A791F1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参加活动人员满意度≥90%</w:t>
      </w:r>
      <w:r>
        <w:rPr>
          <w:rFonts w:hint="eastAsia" w:ascii="仿宋_GB2312" w:hAnsi="仿宋_GB2312" w:eastAsia="仿宋_GB2312" w:cs="仿宋_GB2312"/>
          <w:color w:val="auto"/>
          <w:sz w:val="32"/>
          <w:szCs w:val="32"/>
          <w:highlight w:val="none"/>
          <w:lang w:val="en-US" w:eastAsia="zh-CN"/>
        </w:rPr>
        <w:t>。</w:t>
      </w:r>
    </w:p>
    <w:p w14:paraId="79E7E6B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w:t>
      </w:r>
      <w:r>
        <w:rPr>
          <w:rFonts w:hint="eastAsia" w:ascii="仿宋_GB2312" w:hAnsi="仿宋_GB2312" w:cs="仿宋_GB2312"/>
          <w:color w:val="auto"/>
          <w:sz w:val="32"/>
          <w:szCs w:val="32"/>
          <w:highlight w:val="none"/>
          <w:lang w:val="en-US" w:eastAsia="zh-CN"/>
        </w:rPr>
        <w:t>基本</w:t>
      </w:r>
      <w:r>
        <w:rPr>
          <w:rFonts w:hint="eastAsia" w:ascii="仿宋_GB2312" w:hAnsi="仿宋_GB2312" w:eastAsia="仿宋_GB2312" w:cs="仿宋_GB2312"/>
          <w:color w:val="auto"/>
          <w:sz w:val="32"/>
          <w:szCs w:val="32"/>
          <w:highlight w:val="none"/>
          <w:lang w:val="en-US" w:eastAsia="zh-CN"/>
        </w:rPr>
        <w:t>完成。</w:t>
      </w:r>
    </w:p>
    <w:p w14:paraId="110BA61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3、资金投入分析（得分6分）</w:t>
      </w:r>
    </w:p>
    <w:p w14:paraId="41DBC01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75</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7D493173">
      <w:pPr>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w:t>
      </w:r>
      <w:r>
        <w:rPr>
          <w:rFonts w:hint="eastAsia" w:ascii="仿宋_GB2312" w:hAnsi="仿宋_GB2312" w:cs="仿宋_GB2312"/>
          <w:color w:val="auto"/>
          <w:sz w:val="32"/>
          <w:szCs w:val="32"/>
          <w:highlight w:val="none"/>
          <w:lang w:val="en-US" w:eastAsia="zh-CN"/>
        </w:rPr>
        <w:t>11</w:t>
      </w:r>
      <w:r>
        <w:rPr>
          <w:rFonts w:hint="eastAsia" w:ascii="仿宋_GB2312" w:hAnsi="仿宋_GB2312" w:eastAsia="仿宋_GB2312" w:cs="仿宋_GB2312"/>
          <w:color w:val="auto"/>
          <w:sz w:val="32"/>
          <w:szCs w:val="32"/>
          <w:highlight w:val="none"/>
          <w:lang w:val="en-US" w:eastAsia="zh-CN"/>
        </w:rPr>
        <w:t>分）</w:t>
      </w:r>
    </w:p>
    <w:p w14:paraId="6B8F8C1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75</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75</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4C0F8C9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75.00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67.03</w:t>
      </w:r>
      <w:r>
        <w:rPr>
          <w:rFonts w:hint="eastAsia" w:ascii="仿宋_GB2312" w:hAnsi="仿宋_GB2312" w:eastAsia="仿宋_GB2312" w:cs="仿宋_GB2312"/>
          <w:color w:val="auto"/>
          <w:sz w:val="32"/>
          <w:szCs w:val="32"/>
          <w:highlight w:val="none"/>
          <w:lang w:val="en-US" w:eastAsia="zh-CN"/>
        </w:rPr>
        <w:t>万元，预算执行率</w:t>
      </w:r>
      <w:r>
        <w:rPr>
          <w:rFonts w:hint="eastAsia" w:ascii="仿宋_GB2312" w:hAnsi="仿宋_GB2312" w:cs="仿宋_GB2312"/>
          <w:color w:val="auto"/>
          <w:sz w:val="32"/>
          <w:szCs w:val="32"/>
          <w:highlight w:val="none"/>
          <w:lang w:val="en-US" w:eastAsia="zh-CN"/>
        </w:rPr>
        <w:t>89.37</w:t>
      </w:r>
      <w:r>
        <w:rPr>
          <w:rFonts w:hint="eastAsia" w:ascii="仿宋_GB2312" w:hAnsi="仿宋_GB2312" w:eastAsia="仿宋_GB2312" w:cs="仿宋_GB2312"/>
          <w:color w:val="auto"/>
          <w:sz w:val="32"/>
          <w:szCs w:val="32"/>
          <w:highlight w:val="none"/>
          <w:lang w:val="en-US" w:eastAsia="zh-CN"/>
        </w:rPr>
        <w:t>%。</w:t>
      </w:r>
    </w:p>
    <w:p w14:paraId="0F6F54A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12157E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w:t>
      </w:r>
      <w:r>
        <w:rPr>
          <w:rFonts w:hint="eastAsia" w:ascii="仿宋_GB2312" w:hAnsi="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分）</w:t>
      </w:r>
    </w:p>
    <w:p w14:paraId="35CC1C2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0CB028B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0D6B53D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23BA6CB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开展体育产业调研工作次数</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≥1次</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1次</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w:t>
      </w:r>
    </w:p>
    <w:p w14:paraId="34240853">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指标2：开展体育相关课题研究次数，指标值：≥2次，实际完成值8次，指标完成率100%。</w:t>
      </w:r>
    </w:p>
    <w:p w14:paraId="00BD8BE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07BB5BB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ascii="仿宋_GB2312" w:hAnsi="仿宋_GB2312" w:cs="仿宋_GB2312"/>
          <w:color w:val="auto"/>
          <w:sz w:val="32"/>
          <w:szCs w:val="32"/>
          <w:highlight w:val="none"/>
          <w:lang w:val="en-US" w:eastAsia="zh-CN"/>
        </w:rPr>
        <w:t>体育产业调研覆盖率</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3DFB62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产出时效分析（得分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5379023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时效指标：指标1：体育产业调研及时率，指标值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bookmarkStart w:id="0" w:name="_GoBack"/>
      <w:bookmarkEnd w:id="0"/>
    </w:p>
    <w:p w14:paraId="185D5D74">
      <w:pPr>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3F6F26D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项目</w:t>
      </w:r>
      <w:r>
        <w:rPr>
          <w:rFonts w:hint="eastAsia" w:ascii="仿宋_GB2312" w:hAnsi="仿宋_GB2312" w:eastAsia="仿宋_GB2312" w:cs="仿宋_GB2312"/>
          <w:color w:val="auto"/>
          <w:sz w:val="32"/>
          <w:szCs w:val="32"/>
          <w:highlight w:val="none"/>
          <w:lang w:val="en-US" w:eastAsia="zh-CN"/>
        </w:rPr>
        <w:t>成本共1个二级指标</w:t>
      </w:r>
      <w:r>
        <w:rPr>
          <w:rFonts w:hint="eastAsia" w:ascii="仿宋_GB2312" w:hAnsi="仿宋_GB2312" w:eastAsia="仿宋_GB2312" w:cs="仿宋_GB2312"/>
          <w:color w:val="auto"/>
          <w:sz w:val="32"/>
          <w:szCs w:val="32"/>
          <w:highlight w:val="none"/>
          <w:lang w:val="zh-TW" w:eastAsia="zh-TW"/>
        </w:rPr>
        <w:t>。该项满分为</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zh-TW" w:eastAsia="zh-TW"/>
        </w:rPr>
        <w:t>分，得分</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zh-TW" w:eastAsia="zh-TW"/>
        </w:rPr>
        <w:t>分，得分率</w:t>
      </w:r>
      <w:r>
        <w:rPr>
          <w:rFonts w:hint="eastAsia" w:ascii="仿宋_GB2312" w:hAnsi="仿宋_GB2312" w:eastAsia="仿宋_GB2312" w:cs="仿宋_GB2312"/>
          <w:color w:val="auto"/>
          <w:sz w:val="32"/>
          <w:szCs w:val="32"/>
          <w:highlight w:val="none"/>
          <w:lang w:val="en-US" w:eastAsia="zh-CN"/>
        </w:rPr>
        <w:t>70</w:t>
      </w:r>
      <w:r>
        <w:rPr>
          <w:rFonts w:hint="eastAsia" w:ascii="仿宋_GB2312" w:hAnsi="仿宋_GB2312" w:eastAsia="仿宋_GB2312" w:cs="仿宋_GB2312"/>
          <w:color w:val="auto"/>
          <w:sz w:val="32"/>
          <w:szCs w:val="32"/>
          <w:highlight w:val="none"/>
          <w:lang w:val="zh-TW" w:eastAsia="zh-TW"/>
        </w:rPr>
        <w:t>%。</w:t>
      </w:r>
    </w:p>
    <w:p w14:paraId="4C94454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1、成本指标分析（得分7分）</w:t>
      </w:r>
    </w:p>
    <w:p w14:paraId="7835681E">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经济成本指标：指标1：开展体育产业相关课题研究成本，指标值：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50万元，实际完成值50万元，指标完成率100%。</w:t>
      </w:r>
    </w:p>
    <w:p w14:paraId="2DF9143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default" w:ascii="仿宋_GB2312" w:hAnsi="仿宋_GB2312" w:eastAsia="仿宋_GB2312" w:cs="仿宋_GB2312"/>
          <w:color w:val="auto"/>
          <w:sz w:val="32"/>
          <w:szCs w:val="32"/>
          <w:highlight w:val="none"/>
          <w:lang w:val="en-US" w:eastAsia="zh-TW"/>
        </w:rPr>
      </w:pPr>
      <w:r>
        <w:rPr>
          <w:rFonts w:hint="eastAsia" w:ascii="仿宋_GB2312" w:hAnsi="仿宋_GB2312" w:eastAsia="仿宋_GB2312" w:cs="仿宋_GB2312"/>
          <w:color w:val="auto"/>
          <w:sz w:val="32"/>
          <w:szCs w:val="32"/>
          <w:highlight w:val="none"/>
          <w:lang w:val="en-US" w:eastAsia="zh-CN"/>
        </w:rPr>
        <w:t>指标2：开展体育产业发展相关工作成本，指标值：</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25万元，实际完成值17.03万元，指标完成率68.12%。</w:t>
      </w:r>
    </w:p>
    <w:p w14:paraId="059DA669">
      <w:pPr>
        <w:keepLines w:val="0"/>
        <w:pageBreakBefore w:val="0"/>
        <w:kinsoku/>
        <w:wordWrap/>
        <w:overflowPunct/>
        <w:topLinePunct w:val="0"/>
        <w:autoSpaceDE/>
        <w:autoSpaceDN/>
        <w:bidi w:val="0"/>
        <w:adjustRightInd/>
        <w:snapToGrid/>
        <w:spacing w:line="560" w:lineRule="exact"/>
        <w:ind w:left="0" w:right="0" w:rightChars="0" w:firstLine="643" w:firstLineChars="200"/>
        <w:textAlignment w:val="auto"/>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包括实施效益和满意度</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color w:val="auto"/>
          <w:sz w:val="32"/>
          <w:szCs w:val="32"/>
          <w:highlight w:val="none"/>
          <w:lang w:val="en-US" w:eastAsia="zh-CN"/>
        </w:rPr>
        <w:tab/>
      </w:r>
    </w:p>
    <w:p w14:paraId="00D0AC34">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实施效益（得分15分）</w:t>
      </w:r>
    </w:p>
    <w:p w14:paraId="07CD9311">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经济效益指标：</w:t>
      </w:r>
      <w:r>
        <w:rPr>
          <w:rFonts w:hint="eastAsia" w:ascii="仿宋_GB2312" w:hAnsi="仿宋_GB2312" w:cs="仿宋_GB2312"/>
          <w:color w:val="auto"/>
          <w:sz w:val="32"/>
          <w:szCs w:val="32"/>
          <w:highlight w:val="none"/>
          <w:lang w:val="en-US" w:eastAsia="zh-CN"/>
        </w:rPr>
        <w:t>无此项指标。</w:t>
      </w:r>
    </w:p>
    <w:p w14:paraId="1F728D8D">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社会效益指标：指标1：</w:t>
      </w:r>
      <w:r>
        <w:rPr>
          <w:rFonts w:hint="eastAsia" w:ascii="仿宋_GB2312" w:hAnsi="仿宋_GB2312" w:cs="仿宋_GB2312"/>
          <w:color w:val="auto"/>
          <w:sz w:val="32"/>
          <w:szCs w:val="32"/>
          <w:highlight w:val="none"/>
          <w:lang w:val="en-US" w:eastAsia="zh-CN"/>
        </w:rPr>
        <w:t>形成课题研究报告数</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≥2个</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8个</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7162B194">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14:paraId="39814AA8">
      <w:pPr>
        <w:pStyle w:val="4"/>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r>
        <w:rPr>
          <w:rFonts w:hint="eastAsia" w:ascii="仿宋_GB2312" w:hAnsi="仿宋_GB2312" w:cs="仿宋_GB2312"/>
          <w:color w:val="auto"/>
          <w:sz w:val="32"/>
          <w:szCs w:val="32"/>
          <w:highlight w:val="none"/>
          <w:lang w:val="en-US" w:eastAsia="zh-CN"/>
        </w:rPr>
        <w:t>。</w:t>
      </w:r>
    </w:p>
    <w:p w14:paraId="1F159E1A">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2、满意度（得分</w:t>
      </w:r>
      <w:r>
        <w:rPr>
          <w:rFonts w:hint="eastAsia" w:ascii="仿宋_GB2312" w:hAnsi="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lang w:val="en-US" w:eastAsia="zh-CN"/>
        </w:rPr>
        <w:t>分）</w:t>
      </w:r>
    </w:p>
    <w:p w14:paraId="787BE548">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满意度指标：指标1：</w:t>
      </w:r>
      <w:r>
        <w:rPr>
          <w:rFonts w:hint="eastAsia" w:ascii="仿宋_GB2312" w:hAnsi="仿宋_GB2312" w:cs="仿宋_GB2312"/>
          <w:color w:val="auto"/>
          <w:sz w:val="32"/>
          <w:szCs w:val="32"/>
          <w:highlight w:val="none"/>
          <w:lang w:val="en-US" w:eastAsia="zh-CN"/>
        </w:rPr>
        <w:t>参加活动人员满意度</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EEF29AC">
      <w:pPr>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1C2F5E05">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2024年，我们在推进体育产业发展研究及保障经费项目中积累了宝贵的经验和做法。首先，领导层高度重视并给予大力支持，指派业务能力强、责任心重的专人负责项目管理，确保各项工作高效落实。其次，在体育产业调研方面，结合新疆实际，针对体育旅游业、冰雪运动产业等领域进行了深入整合与分析，聚焦关键领域，成功完成了高质量的产业调研工作。与此同时，我们根据年初设定的绩效目标合理规划经费使用，严格执行财务管理制度，强调节约原则，确保每笔经费专款专用，并建立了严格的监督机制以保证经费使用的透明度和合规性。此外，围绕《2023年全区居民体育消费调查研究》、《兵地融合背景下新疆体育产业发展趋势研究》等八项重点课题，组织专业科研团队进行深入探讨，旨在弥补新疆体育产业理论研究短板，为推动体育产业实践与理论相结合提供坚实基础，助力新疆体育产业高质量发展。通过这些措施，不仅强化了项目的实施效果，也为新疆体育产业的发展提供了重要的智力支持和技术保障。</w:t>
      </w:r>
    </w:p>
    <w:p w14:paraId="21174E1D">
      <w:pPr>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29957A6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尽管我们在推动体育产业课题研究方面取得了进展，但部分研究成果未能充分结合新疆本地实际情况，导致理论与实践之间存在一定的脱节现象。这要求我们在后续的研究工作中更加注重理论与实践的紧密结合</w:t>
      </w:r>
      <w:r>
        <w:rPr>
          <w:rFonts w:hint="eastAsia" w:ascii="仿宋_GB2312" w:hAnsi="仿宋_GB2312" w:cs="仿宋_GB2312"/>
          <w:color w:val="auto"/>
          <w:sz w:val="32"/>
          <w:szCs w:val="32"/>
          <w:highlight w:val="none"/>
          <w:lang w:val="en-US" w:eastAsia="zh-CN"/>
        </w:rPr>
        <w:t>。</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45822DB9">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在课题研究设计阶段，应加强与地方政府、企业和社会组织的合作，确保研究内容贴近实际需求。</w:t>
      </w:r>
    </w:p>
    <w:p w14:paraId="50E558DF">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鼓励研究人员参与实地调研和产业实践，增强研究成果的实用性和可操作性</w:t>
      </w:r>
      <w:r>
        <w:rPr>
          <w:rFonts w:hint="eastAsia" w:ascii="仿宋_GB2312" w:hAnsi="仿宋_GB2312" w:cs="仿宋_GB2312"/>
          <w:color w:val="auto"/>
          <w:sz w:val="32"/>
          <w:szCs w:val="32"/>
          <w:highlight w:val="none"/>
          <w:lang w:val="en-US" w:eastAsia="zh-CN"/>
        </w:rPr>
        <w:t>。</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keepLines w:val="0"/>
        <w:pageBreakBefore w:val="0"/>
        <w:kinsoku/>
        <w:wordWrap/>
        <w:overflowPunct/>
        <w:topLinePunct w:val="0"/>
        <w:autoSpaceDE/>
        <w:autoSpaceDN/>
        <w:bidi w:val="0"/>
        <w:adjustRightInd/>
        <w:snapToGrid/>
        <w:spacing w:line="600" w:lineRule="exact"/>
        <w:ind w:left="0" w:leftChars="0" w:right="0" w:rightChars="0" w:firstLine="600" w:firstLineChars="200"/>
        <w:textAlignment w:val="auto"/>
        <w:rPr>
          <w:highlight w:val="none"/>
        </w:rPr>
      </w:pPr>
    </w:p>
    <w:p w14:paraId="685A088F">
      <w:pPr>
        <w:keepLines w:val="0"/>
        <w:pageBreakBefore w:val="0"/>
        <w:kinsoku/>
        <w:wordWrap/>
        <w:overflowPunct/>
        <w:topLinePunct w:val="0"/>
        <w:autoSpaceDE/>
        <w:autoSpaceDN/>
        <w:bidi w:val="0"/>
        <w:adjustRightInd/>
        <w:snapToGrid/>
        <w:ind w:left="0" w:right="0" w:rightChars="0" w:firstLine="600" w:firstLineChars="200"/>
        <w:textAlignment w:val="auto"/>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B44B5E"/>
    <w:multiLevelType w:val="singleLevel"/>
    <w:tmpl w:val="27B44B5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0F2246C9"/>
    <w:rsid w:val="006F35A0"/>
    <w:rsid w:val="02A12ECC"/>
    <w:rsid w:val="0334789D"/>
    <w:rsid w:val="05CF0E6C"/>
    <w:rsid w:val="071F0864"/>
    <w:rsid w:val="08C07E24"/>
    <w:rsid w:val="09012917"/>
    <w:rsid w:val="0D8E6743"/>
    <w:rsid w:val="0F2246C9"/>
    <w:rsid w:val="15B4486D"/>
    <w:rsid w:val="15DA2525"/>
    <w:rsid w:val="161B669A"/>
    <w:rsid w:val="1AEE0821"/>
    <w:rsid w:val="1C347ACE"/>
    <w:rsid w:val="26DA267C"/>
    <w:rsid w:val="28AA3FD9"/>
    <w:rsid w:val="2C2D3D12"/>
    <w:rsid w:val="2D1C4D7A"/>
    <w:rsid w:val="2F212B1B"/>
    <w:rsid w:val="32290665"/>
    <w:rsid w:val="335C4122"/>
    <w:rsid w:val="360F36CE"/>
    <w:rsid w:val="37732382"/>
    <w:rsid w:val="382D0783"/>
    <w:rsid w:val="39D2437E"/>
    <w:rsid w:val="3A6560C1"/>
    <w:rsid w:val="42817701"/>
    <w:rsid w:val="44044A8E"/>
    <w:rsid w:val="44B518E4"/>
    <w:rsid w:val="44D415C8"/>
    <w:rsid w:val="465A0995"/>
    <w:rsid w:val="47FF2A2E"/>
    <w:rsid w:val="490C7F41"/>
    <w:rsid w:val="49A32653"/>
    <w:rsid w:val="49F11610"/>
    <w:rsid w:val="4EA01857"/>
    <w:rsid w:val="503009B9"/>
    <w:rsid w:val="53876B42"/>
    <w:rsid w:val="55480552"/>
    <w:rsid w:val="5596306C"/>
    <w:rsid w:val="55D01C98"/>
    <w:rsid w:val="56C63E25"/>
    <w:rsid w:val="570606C5"/>
    <w:rsid w:val="5A47527D"/>
    <w:rsid w:val="5CC26E3C"/>
    <w:rsid w:val="5DEC4171"/>
    <w:rsid w:val="62A50D92"/>
    <w:rsid w:val="66B15F58"/>
    <w:rsid w:val="6A973C6D"/>
    <w:rsid w:val="6D2C27DC"/>
    <w:rsid w:val="6F7264A0"/>
    <w:rsid w:val="7327134F"/>
    <w:rsid w:val="7863107C"/>
    <w:rsid w:val="7A8377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Cambria" w:hAnsi="Cambria"/>
      <w:b/>
      <w:bCs/>
      <w:kern w:val="0"/>
      <w:szCs w:val="26"/>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annotation text"/>
    <w:basedOn w:val="1"/>
    <w:uiPriority w:val="0"/>
    <w:pPr>
      <w:jc w:val="left"/>
    </w:pPr>
  </w:style>
  <w:style w:type="paragraph" w:styleId="4">
    <w:name w:val="Body Text Indent 2"/>
    <w:basedOn w:val="1"/>
    <w:qFormat/>
    <w:uiPriority w:val="0"/>
    <w:pPr>
      <w:spacing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6330</Words>
  <Characters>6552</Characters>
  <Lines>0</Lines>
  <Paragraphs>0</Paragraphs>
  <TotalTime>32</TotalTime>
  <ScaleCrop>false</ScaleCrop>
  <LinksUpToDate>false</LinksUpToDate>
  <CharactersWithSpaces>6559</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2025-03-18T08:29:00Z</dcterms:created>
  <dc:creator>Pari</dc:creator>
  <cp:lastModifiedBy>晓琳</cp:lastModifiedBy>
  <dcterms:modified xsi:type="dcterms:W3CDTF">2025-03-24T03:30:37Z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F8F7EC3111CF471B99A02583CAAD8431_13</vt:lpwstr>
  </property>
  <property fmtid="{D5CDD505-2E9C-101B-9397-08002B2CF9AE}" pid="4" name="KSOTemplateDocerSaveRecord">
    <vt:lpwstr>eyJoZGlkIjoiNDk1NmU0MzU5ZWVkMWI5OWQ2YzFiZTBjOTcwNmFmMmUiLCJ1c2VySWQiOiIzMTAyNjUwMTkifQ==</vt:lpwstr>
  </property>
</Properties>
</file>