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eastAsia="宋体" w:cs="Arial"/>
          <w:b/>
          <w:bCs/>
          <w:color w:val="auto"/>
          <w:sz w:val="36"/>
          <w:szCs w:val="36"/>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项目支出绩效评价报告</w:t>
      </w:r>
    </w:p>
    <w:p>
      <w:pPr>
        <w:spacing w:line="600" w:lineRule="exact"/>
        <w:jc w:val="center"/>
        <w:rPr>
          <w:rFonts w:hAnsi="宋体" w:cs="宋体"/>
          <w:color w:val="auto"/>
          <w:kern w:val="0"/>
          <w:sz w:val="36"/>
          <w:szCs w:val="36"/>
        </w:rPr>
      </w:pPr>
      <w:r>
        <w:rPr>
          <w:rFonts w:hint="eastAsia" w:hAnsi="宋体" w:cs="宋体"/>
          <w:color w:val="auto"/>
          <w:kern w:val="0"/>
          <w:sz w:val="36"/>
          <w:szCs w:val="36"/>
        </w:rPr>
        <w:t>（2024年度）</w:t>
      </w:r>
    </w:p>
    <w:p>
      <w:pPr>
        <w:pStyle w:val="4"/>
        <w:rPr>
          <w:rFonts w:ascii="Times New Roman" w:hAnsi="宋体" w:cs="宋体"/>
          <w:color w:val="auto"/>
          <w:sz w:val="36"/>
          <w:szCs w:val="36"/>
        </w:rPr>
      </w:pPr>
    </w:p>
    <w:p>
      <w:pPr>
        <w:rPr>
          <w:rFonts w:hAnsi="宋体" w:cs="宋体"/>
          <w:color w:val="auto"/>
          <w:kern w:val="0"/>
          <w:sz w:val="36"/>
          <w:szCs w:val="36"/>
        </w:rPr>
      </w:pPr>
    </w:p>
    <w:p>
      <w:pPr>
        <w:pStyle w:val="4"/>
        <w:rPr>
          <w:rFonts w:ascii="Times New Roman" w:hAnsi="宋体" w:cs="宋体"/>
          <w:color w:val="auto"/>
          <w:sz w:val="36"/>
          <w:szCs w:val="36"/>
        </w:rPr>
      </w:pPr>
    </w:p>
    <w:p>
      <w:pPr>
        <w:pStyle w:val="4"/>
        <w:rPr>
          <w:color w:val="auto"/>
        </w:rPr>
      </w:pPr>
    </w:p>
    <w:p>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项目名称：伙食补助和试训运动员津贴项目</w:t>
      </w:r>
    </w:p>
    <w:p>
      <w:pPr>
        <w:jc w:val="left"/>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实施单位（公章）：新疆维吾尔自治区体育局足球运动管理中心</w:t>
      </w:r>
    </w:p>
    <w:p>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主管部门（公章）：新疆维吾尔自治区体育局</w:t>
      </w:r>
    </w:p>
    <w:p>
      <w:pPr>
        <w:ind w:left="3840" w:right="750" w:rightChars="250" w:hanging="3840" w:hangingChars="1200"/>
        <w:outlineLvl w:val="0"/>
        <w:rPr>
          <w:rFonts w:ascii="仿宋" w:hAnsi="仿宋" w:eastAsia="仿宋" w:cs="仿宋"/>
          <w:color w:val="auto"/>
          <w:kern w:val="0"/>
          <w:sz w:val="32"/>
          <w:szCs w:val="32"/>
        </w:rPr>
      </w:pPr>
      <w:r>
        <w:rPr>
          <w:rFonts w:hint="eastAsia" w:ascii="仿宋" w:hAnsi="仿宋" w:eastAsia="仿宋" w:cs="仿宋"/>
          <w:color w:val="auto"/>
          <w:kern w:val="0"/>
          <w:sz w:val="32"/>
          <w:szCs w:val="32"/>
        </w:rPr>
        <w:t>项目负责人（签章）：应军</w:t>
      </w:r>
    </w:p>
    <w:p>
      <w:pPr>
        <w:rPr>
          <w:rFonts w:ascii="仿宋_GB2312"/>
          <w:color w:val="auto"/>
          <w:szCs w:val="30"/>
        </w:rPr>
      </w:pPr>
      <w:r>
        <w:rPr>
          <w:rFonts w:hint="eastAsia" w:ascii="仿宋" w:hAnsi="仿宋" w:eastAsia="仿宋" w:cs="仿宋"/>
          <w:color w:val="auto"/>
          <w:kern w:val="0"/>
          <w:sz w:val="32"/>
          <w:szCs w:val="32"/>
        </w:rPr>
        <w:t>填报时间：2025年 3月20 日</w:t>
      </w:r>
      <w:r>
        <w:rPr>
          <w:rFonts w:ascii="仿宋_GB2312"/>
          <w:color w:val="auto"/>
          <w:szCs w:val="30"/>
        </w:rPr>
        <w:br w:type="page"/>
      </w:r>
    </w:p>
    <w:p>
      <w:pPr>
        <w:spacing w:line="600" w:lineRule="exact"/>
        <w:ind w:firstLine="640" w:firstLineChars="200"/>
        <w:rPr>
          <w:rFonts w:ascii="黑体" w:hAnsi="黑体" w:eastAsia="黑体"/>
          <w:color w:val="auto"/>
          <w:sz w:val="32"/>
          <w:szCs w:val="32"/>
        </w:rPr>
      </w:pPr>
      <w:r>
        <w:rPr>
          <w:rFonts w:hint="eastAsia" w:ascii="黑体" w:hAnsi="黑体" w:eastAsia="黑体"/>
          <w:color w:val="auto"/>
          <w:sz w:val="32"/>
          <w:szCs w:val="32"/>
        </w:rPr>
        <w:t>一、基本情况</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（一）项目概况。</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1、项目背景</w:t>
      </w:r>
    </w:p>
    <w:p>
      <w:pPr>
        <w:spacing w:line="600" w:lineRule="exact"/>
        <w:ind w:firstLine="640" w:firstLineChars="200"/>
        <w:outlineLvl w:val="0"/>
        <w:rPr>
          <w:rFonts w:ascii="仿宋" w:hAnsi="仿宋" w:eastAsia="仿宋" w:cs="仿宋"/>
          <w:color w:val="auto"/>
          <w:sz w:val="32"/>
          <w:szCs w:val="32"/>
        </w:rPr>
      </w:pPr>
      <w:r>
        <w:rPr>
          <w:rFonts w:hint="eastAsia" w:ascii="仿宋" w:hAnsi="仿宋" w:eastAsia="仿宋" w:cs="仿宋"/>
          <w:color w:val="auto"/>
          <w:sz w:val="32"/>
          <w:szCs w:val="32"/>
        </w:rPr>
        <w:t>首先，中国体育事业的发展有助于促进全民健康，进一步提高全民生活水平。近些年来，经常开展体育活动能够有效减少身体不适，有助于增强体质，提高全民身心状态，从而有助于营造健康生活氛围，推动全民生活水平的提高。</w:t>
      </w:r>
    </w:p>
    <w:p>
      <w:pPr>
        <w:spacing w:line="600" w:lineRule="exact"/>
        <w:ind w:firstLine="640" w:firstLineChars="200"/>
        <w:outlineLvl w:val="0"/>
        <w:rPr>
          <w:rFonts w:ascii="仿宋" w:hAnsi="仿宋" w:eastAsia="仿宋" w:cs="仿宋"/>
          <w:color w:val="auto"/>
          <w:sz w:val="32"/>
          <w:szCs w:val="32"/>
        </w:rPr>
      </w:pPr>
      <w:r>
        <w:rPr>
          <w:rFonts w:hint="eastAsia" w:ascii="仿宋" w:hAnsi="仿宋" w:eastAsia="仿宋" w:cs="仿宋"/>
          <w:color w:val="auto"/>
          <w:sz w:val="32"/>
          <w:szCs w:val="32"/>
        </w:rPr>
        <w:t>此外，中国体育事业的发展具有重要的现实意义和深远的社会意义。近些年来，国家积极崇尚体育文化，大力发展体育事业，无疑为提升全民身心健康状况、增强民族凝聚力、巩固国家综合实力、强化国家形象等作出了积极贡献，从而对于推动中国社会发展具有重要作用。</w:t>
      </w:r>
    </w:p>
    <w:p>
      <w:pPr>
        <w:spacing w:line="540" w:lineRule="exact"/>
        <w:ind w:firstLine="567"/>
        <w:rPr>
          <w:rStyle w:val="10"/>
          <w:rFonts w:ascii="仿宋" w:hAnsi="仿宋" w:eastAsia="仿宋" w:cs="仿宋"/>
          <w:b w:val="0"/>
          <w:bCs w:val="0"/>
          <w:color w:val="auto"/>
          <w:spacing w:val="-4"/>
          <w:sz w:val="32"/>
          <w:szCs w:val="32"/>
        </w:rPr>
      </w:pPr>
      <w:r>
        <w:rPr>
          <w:rStyle w:val="10"/>
          <w:rFonts w:hint="eastAsia" w:ascii="仿宋" w:hAnsi="仿宋" w:eastAsia="仿宋" w:cs="仿宋"/>
          <w:b w:val="0"/>
          <w:bCs w:val="0"/>
          <w:color w:val="auto"/>
          <w:spacing w:val="-4"/>
          <w:sz w:val="32"/>
          <w:szCs w:val="32"/>
        </w:rPr>
        <w:t>根据新人社发[2009]6号关于印发《自治区体育运动员贯彻&lt;事业单位工作人员收入分配制度改革方案&gt;的实施意见》的通知要求。新财教﹝2021﹞116号关于调整运动员、教练员伙食补助标准的通知；伙食补助和试训运动员津贴工作目标：保障运动队营养摄入、饮食搭配，做到营养与膳食科学摄取配比；保障运动队食品安全，严禁、杜绝兴奋剂误食现象；保障试训运动员津贴切实发放到位。</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 xml:space="preserve">2、主要内容及实施情况 </w:t>
      </w:r>
    </w:p>
    <w:p>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每月为253人提供伙食补助，保障60名试训运动员津贴切实发放到位；加强了食品采购管理，严格把控食品质量，确保食品安全的同时，坚决杜绝了兴奋剂误食现象，提高了运动员营养水平，确保了食品供应充足、均衡、合理，以满足运动员日常训练和比赛的需求。</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各项目指标均已完成，完成效果较好。</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3、资金投入和使用情况</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2024年预算资金375万元，已全额到位，均为财政拨款，无自筹资金，预算资金到位率达到100.00%。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截止2024年12月31日为止，已支出</w:t>
      </w:r>
      <w:r>
        <w:rPr>
          <w:rFonts w:hint="eastAsia" w:ascii="仿宋_GB2312" w:hAnsi="仿宋_GB2312" w:cs="仿宋_GB2312"/>
          <w:color w:val="auto"/>
          <w:sz w:val="32"/>
          <w:szCs w:val="32"/>
          <w:lang w:val="en-US" w:eastAsia="zh-CN"/>
        </w:rPr>
        <w:t>374.44</w:t>
      </w:r>
      <w:r>
        <w:rPr>
          <w:rFonts w:hint="eastAsia" w:ascii="仿宋_GB2312" w:hAnsi="仿宋_GB2312" w:cs="仿宋_GB2312"/>
          <w:color w:val="auto"/>
          <w:sz w:val="32"/>
          <w:szCs w:val="32"/>
        </w:rPr>
        <w:t>万元，资金执行率</w:t>
      </w:r>
      <w:r>
        <w:rPr>
          <w:rFonts w:hint="eastAsia" w:ascii="仿宋_GB2312" w:hAnsi="仿宋_GB2312" w:cs="仿宋_GB2312"/>
          <w:color w:val="auto"/>
          <w:sz w:val="32"/>
          <w:szCs w:val="32"/>
          <w:lang w:val="en-US" w:eastAsia="zh-CN"/>
        </w:rPr>
        <w:t>99.85</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各</w:t>
      </w:r>
      <w:r>
        <w:rPr>
          <w:rFonts w:hint="eastAsia" w:ascii="仿宋_GB2312" w:hAnsi="仿宋_GB2312" w:cs="仿宋_GB2312"/>
          <w:color w:val="auto"/>
          <w:sz w:val="32"/>
          <w:szCs w:val="32"/>
        </w:rPr>
        <w:t>项资金拨付严格按照上级文件指示精神进行，支出均有相关的授权审批，资金拨付严格按审批程序进行，使用规范，会计核算结果真实、准确。</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4、项目绩效目标。</w:t>
      </w:r>
    </w:p>
    <w:p>
      <w:pPr>
        <w:spacing w:line="600" w:lineRule="exact"/>
        <w:ind w:firstLine="640" w:firstLineChars="200"/>
        <w:jc w:val="left"/>
        <w:rPr>
          <w:rFonts w:ascii="仿宋" w:hAnsi="仿宋" w:eastAsia="仿宋" w:cs="仿宋"/>
          <w:color w:val="auto"/>
          <w:sz w:val="32"/>
          <w:szCs w:val="32"/>
        </w:rPr>
      </w:pPr>
      <w:r>
        <w:rPr>
          <w:rFonts w:hint="eastAsia" w:ascii="仿宋" w:hAnsi="仿宋" w:eastAsia="仿宋" w:cs="仿宋"/>
          <w:color w:val="auto"/>
          <w:sz w:val="32"/>
          <w:szCs w:val="32"/>
        </w:rPr>
        <w:t>总体目标：每月为不少于253人提供伙食补助，保障60名试训运动员津贴切实发放到位；加强食品采购管理，严格把控食品质量，确保食品安全的同时，坚决杜绝兴奋剂误食现象；提高运动员营养水平,确保食品供应充足、均衡、合理，以满足运动员日常训练和比赛的需求。</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阶段性目标：无。</w:t>
      </w:r>
    </w:p>
    <w:p>
      <w:pPr>
        <w:spacing w:line="600" w:lineRule="exact"/>
        <w:ind w:firstLine="640" w:firstLineChars="200"/>
        <w:jc w:val="left"/>
        <w:rPr>
          <w:rFonts w:ascii="黑体" w:hAnsi="黑体" w:eastAsia="黑体"/>
          <w:color w:val="auto"/>
          <w:sz w:val="32"/>
          <w:szCs w:val="32"/>
        </w:rPr>
      </w:pPr>
      <w:r>
        <w:rPr>
          <w:rFonts w:hint="eastAsia" w:ascii="黑体" w:hAnsi="黑体" w:eastAsia="黑体"/>
          <w:color w:val="auto"/>
          <w:sz w:val="32"/>
          <w:szCs w:val="32"/>
        </w:rPr>
        <w:t>二、绩效评价工作开展情况</w:t>
      </w:r>
    </w:p>
    <w:p>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（一）绩效评价目的、对象和范围。</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rPr>
        <w:t>伙食补助和试训运动员津贴</w:t>
      </w:r>
      <w:r>
        <w:rPr>
          <w:rFonts w:hint="eastAsia" w:ascii="仿宋_GB2312" w:hAnsi="仿宋_GB2312" w:cs="仿宋_GB2312"/>
          <w:color w:val="auto"/>
          <w:sz w:val="32"/>
          <w:szCs w:val="32"/>
        </w:rPr>
        <w:t>项目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我单位从决策、过程、产出、成本和效果五个方面针对本项目进行评价，通过开展绩效评价，提高财政资金分配的科学性、有效性，向建立绩效预算制度迈出重要的一步。</w:t>
      </w:r>
    </w:p>
    <w:p>
      <w:pPr>
        <w:spacing w:line="600" w:lineRule="exact"/>
        <w:ind w:firstLine="643" w:firstLineChars="200"/>
        <w:jc w:val="left"/>
        <w:outlineLvl w:val="0"/>
        <w:rPr>
          <w:rFonts w:ascii="楷体" w:hAnsi="楷体" w:eastAsia="楷体" w:cs="楷体"/>
          <w:b/>
          <w:bCs/>
          <w:color w:val="auto"/>
          <w:sz w:val="32"/>
          <w:szCs w:val="32"/>
        </w:rPr>
      </w:pPr>
      <w:r>
        <w:rPr>
          <w:rFonts w:hint="eastAsia" w:ascii="楷体" w:hAnsi="楷体" w:eastAsia="楷体" w:cs="楷体"/>
          <w:b/>
          <w:bCs/>
          <w:color w:val="auto"/>
          <w:sz w:val="32"/>
          <w:szCs w:val="32"/>
        </w:rPr>
        <w:t>（二）绩效评价原则、评价指标体系、评价方法、评价标准等。</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1、绩效评价原则</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1</w:t>
      </w:r>
      <w:r>
        <w:rPr>
          <w:rFonts w:ascii="仿宋_GB2312" w:hAnsi="仿宋_GB2312" w:cs="仿宋_GB2312"/>
          <w:color w:val="auto"/>
          <w:sz w:val="32"/>
          <w:szCs w:val="32"/>
        </w:rPr>
        <w:t>）科学公正</w:t>
      </w:r>
      <w:r>
        <w:rPr>
          <w:rFonts w:hint="eastAsia" w:ascii="仿宋_GB2312" w:hAnsi="仿宋_GB2312" w:cs="仿宋_GB2312"/>
          <w:color w:val="auto"/>
          <w:sz w:val="32"/>
          <w:szCs w:val="32"/>
        </w:rPr>
        <w:t>、科学规范原则</w:t>
      </w:r>
      <w:r>
        <w:rPr>
          <w:rFonts w:ascii="仿宋_GB2312" w:hAnsi="仿宋_GB2312" w:cs="仿宋_GB2312"/>
          <w:color w:val="auto"/>
          <w:sz w:val="32"/>
          <w:szCs w:val="32"/>
        </w:rPr>
        <w:t>。绩效评价应当运用科学合理的方法，按照规范的程序，对项目绩效进行客观、公正的反映</w:t>
      </w:r>
      <w:r>
        <w:rPr>
          <w:rFonts w:hint="eastAsia" w:ascii="仿宋_GB2312" w:hAnsi="仿宋_GB2312" w:cs="仿宋_GB2312"/>
          <w:color w:val="auto"/>
          <w:sz w:val="32"/>
          <w:szCs w:val="32"/>
        </w:rPr>
        <w:t>，按照科学可行的要求，采用定量与定性分析相结合的方法。</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2</w:t>
      </w:r>
      <w:r>
        <w:rPr>
          <w:rFonts w:ascii="仿宋_GB2312" w:hAnsi="仿宋_GB2312" w:cs="仿宋_GB2312"/>
          <w:color w:val="auto"/>
          <w:sz w:val="32"/>
          <w:szCs w:val="32"/>
        </w:rPr>
        <w:t>）</w:t>
      </w:r>
      <w:r>
        <w:rPr>
          <w:rFonts w:hint="eastAsia" w:ascii="仿宋_GB2312" w:hAnsi="仿宋_GB2312" w:cs="仿宋_GB2312"/>
          <w:color w:val="auto"/>
          <w:sz w:val="32"/>
          <w:szCs w:val="32"/>
        </w:rPr>
        <w:t>分级分类原则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我单位根据</w:t>
      </w:r>
      <w:r>
        <w:rPr>
          <w:rFonts w:ascii="仿宋_GB2312" w:hAnsi="仿宋_GB2312" w:cs="仿宋_GB2312"/>
          <w:color w:val="auto"/>
          <w:sz w:val="32"/>
          <w:szCs w:val="32"/>
        </w:rPr>
        <w:t>“谁支出、谁自评”</w:t>
      </w:r>
      <w:r>
        <w:rPr>
          <w:rFonts w:hint="eastAsia" w:ascii="仿宋_GB2312" w:hAnsi="仿宋_GB2312" w:cs="仿宋_GB2312"/>
          <w:color w:val="auto"/>
          <w:sz w:val="32"/>
          <w:szCs w:val="32"/>
        </w:rPr>
        <w:t>的原则，根据评价对象的特点分类组织实施绩效</w:t>
      </w:r>
      <w:r>
        <w:rPr>
          <w:rFonts w:ascii="仿宋_GB2312" w:hAnsi="仿宋_GB2312" w:cs="仿宋_GB2312"/>
          <w:color w:val="auto"/>
          <w:sz w:val="32"/>
          <w:szCs w:val="32"/>
        </w:rPr>
        <w:t>评价</w:t>
      </w:r>
      <w:r>
        <w:rPr>
          <w:rFonts w:hint="eastAsia" w:ascii="仿宋_GB2312" w:hAnsi="仿宋_GB2312" w:cs="仿宋_GB2312"/>
          <w:color w:val="auto"/>
          <w:sz w:val="32"/>
          <w:szCs w:val="32"/>
        </w:rPr>
        <w:t>工作，与相关单位</w:t>
      </w:r>
      <w:r>
        <w:rPr>
          <w:rFonts w:ascii="仿宋_GB2312" w:hAnsi="仿宋_GB2312" w:cs="仿宋_GB2312"/>
          <w:color w:val="auto"/>
          <w:sz w:val="32"/>
          <w:szCs w:val="32"/>
        </w:rPr>
        <w:t>职责明确，各有侧重，相互衔接。</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3</w:t>
      </w:r>
      <w:r>
        <w:rPr>
          <w:rFonts w:ascii="仿宋_GB2312" w:hAnsi="仿宋_GB2312" w:cs="仿宋_GB2312"/>
          <w:color w:val="auto"/>
          <w:sz w:val="32"/>
          <w:szCs w:val="32"/>
        </w:rPr>
        <w:t>）</w:t>
      </w:r>
      <w:r>
        <w:rPr>
          <w:rFonts w:hint="eastAsia" w:ascii="仿宋_GB2312" w:hAnsi="仿宋_GB2312" w:cs="仿宋_GB2312"/>
          <w:color w:val="auto"/>
          <w:sz w:val="32"/>
          <w:szCs w:val="32"/>
        </w:rPr>
        <w:t>绩效相关原则</w:t>
      </w:r>
      <w:r>
        <w:rPr>
          <w:rFonts w:ascii="仿宋_GB2312" w:hAnsi="仿宋_GB2312" w:cs="仿宋_GB2312"/>
          <w:color w:val="auto"/>
          <w:sz w:val="32"/>
          <w:szCs w:val="32"/>
        </w:rPr>
        <w:t>。</w:t>
      </w:r>
      <w:r>
        <w:rPr>
          <w:rFonts w:hint="eastAsia" w:ascii="仿宋_GB2312" w:hAnsi="仿宋_GB2312" w:cs="仿宋_GB2312"/>
          <w:color w:val="auto"/>
          <w:sz w:val="32"/>
          <w:szCs w:val="32"/>
        </w:rPr>
        <w:t>我单位绩效评价针对具体投入及其产出绩效进行，评价结果清晰反映了支出和产出绩效之间的紧密对应关系。</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w:t>
      </w:r>
      <w:r>
        <w:rPr>
          <w:rFonts w:hint="eastAsia" w:ascii="仿宋_GB2312" w:hAnsi="仿宋_GB2312" w:cs="仿宋_GB2312"/>
          <w:color w:val="auto"/>
          <w:sz w:val="32"/>
          <w:szCs w:val="32"/>
        </w:rPr>
        <w:t>4</w:t>
      </w:r>
      <w:r>
        <w:rPr>
          <w:rFonts w:ascii="仿宋_GB2312" w:hAnsi="仿宋_GB2312" w:cs="仿宋_GB2312"/>
          <w:color w:val="auto"/>
          <w:sz w:val="32"/>
          <w:szCs w:val="32"/>
        </w:rPr>
        <w:t>）</w:t>
      </w:r>
      <w:r>
        <w:rPr>
          <w:rFonts w:hint="eastAsia" w:ascii="仿宋_GB2312" w:hAnsi="仿宋_GB2312" w:cs="仿宋_GB2312"/>
          <w:color w:val="auto"/>
          <w:sz w:val="32"/>
          <w:szCs w:val="32"/>
        </w:rPr>
        <w:t>公正</w:t>
      </w:r>
      <w:r>
        <w:rPr>
          <w:rFonts w:ascii="仿宋_GB2312" w:hAnsi="仿宋_GB2312" w:cs="仿宋_GB2312"/>
          <w:color w:val="auto"/>
          <w:sz w:val="32"/>
          <w:szCs w:val="32"/>
        </w:rPr>
        <w:t>公开</w:t>
      </w:r>
      <w:r>
        <w:rPr>
          <w:rFonts w:hint="eastAsia" w:ascii="仿宋_GB2312" w:hAnsi="仿宋_GB2312" w:cs="仿宋_GB2312"/>
          <w:color w:val="auto"/>
          <w:sz w:val="32"/>
          <w:szCs w:val="32"/>
        </w:rPr>
        <w:t>、</w:t>
      </w:r>
      <w:r>
        <w:rPr>
          <w:rFonts w:ascii="仿宋_GB2312" w:hAnsi="仿宋_GB2312" w:cs="仿宋_GB2312"/>
          <w:color w:val="auto"/>
          <w:sz w:val="32"/>
          <w:szCs w:val="32"/>
        </w:rPr>
        <w:t>透明</w:t>
      </w:r>
      <w:r>
        <w:rPr>
          <w:rFonts w:hint="eastAsia" w:ascii="仿宋_GB2312" w:hAnsi="仿宋_GB2312" w:cs="仿宋_GB2312"/>
          <w:color w:val="auto"/>
          <w:sz w:val="32"/>
          <w:szCs w:val="32"/>
        </w:rPr>
        <w:t>原则</w:t>
      </w:r>
      <w:r>
        <w:rPr>
          <w:rFonts w:ascii="仿宋_GB2312" w:hAnsi="仿宋_GB2312" w:cs="仿宋_GB2312"/>
          <w:color w:val="auto"/>
          <w:sz w:val="32"/>
          <w:szCs w:val="32"/>
        </w:rPr>
        <w:t>。绩效评价结果</w:t>
      </w:r>
      <w:r>
        <w:rPr>
          <w:rFonts w:hint="eastAsia" w:ascii="仿宋_GB2312" w:hAnsi="仿宋_GB2312" w:cs="仿宋_GB2312"/>
          <w:color w:val="auto"/>
          <w:sz w:val="32"/>
          <w:szCs w:val="32"/>
        </w:rPr>
        <w:t>应当符合真实、客观、公正的要求，</w:t>
      </w:r>
      <w:r>
        <w:rPr>
          <w:rFonts w:ascii="仿宋_GB2312" w:hAnsi="仿宋_GB2312" w:cs="仿宋_GB2312"/>
          <w:color w:val="auto"/>
          <w:sz w:val="32"/>
          <w:szCs w:val="32"/>
        </w:rPr>
        <w:t>依法依规公开，并自觉接受社会监督。</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2、评价指标体系</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pPr>
        <w:spacing w:line="600" w:lineRule="exact"/>
        <w:ind w:firstLine="640" w:firstLineChars="200"/>
        <w:jc w:val="left"/>
        <w:rPr>
          <w:rFonts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rPr>
        <w:t>项目</w:t>
      </w:r>
      <w:r>
        <w:rPr>
          <w:rFonts w:hint="eastAsia" w:ascii="仿宋_GB2312" w:hAnsi="仿宋_GB2312" w:cs="仿宋_GB2312"/>
          <w:color w:val="auto"/>
          <w:sz w:val="32"/>
          <w:szCs w:val="32"/>
          <w:lang w:val="zh-TW" w:eastAsia="zh-TW"/>
        </w:rPr>
        <w:t>财政支出绩效评价指标体系严格按照《项目支出绩效评价管理办法》（财预〔2020〕10号）文件要求设置，</w:t>
      </w:r>
      <w:r>
        <w:rPr>
          <w:rFonts w:hint="eastAsia" w:ascii="仿宋_GB2312" w:hAnsi="仿宋_GB2312" w:cs="仿宋_GB2312"/>
          <w:color w:val="auto"/>
          <w:sz w:val="32"/>
          <w:szCs w:val="32"/>
        </w:rPr>
        <w:t>指标体系设置一级指标共5个</w:t>
      </w:r>
      <w:r>
        <w:rPr>
          <w:rFonts w:hint="eastAsia" w:ascii="仿宋_GB2312" w:hAnsi="仿宋_GB2312" w:cs="仿宋_GB2312"/>
          <w:color w:val="auto"/>
          <w:sz w:val="32"/>
          <w:szCs w:val="32"/>
          <w:lang w:val="zh-TW" w:eastAsia="zh-TW"/>
        </w:rPr>
        <w:t>，包括决策</w:t>
      </w: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zh-TW" w:eastAsia="zh-TW"/>
        </w:rPr>
        <w:t>（2</w:t>
      </w:r>
      <w:r>
        <w:rPr>
          <w:rFonts w:hint="eastAsia" w:ascii="仿宋_GB2312" w:hAnsi="仿宋_GB2312" w:cs="仿宋_GB2312"/>
          <w:color w:val="auto"/>
          <w:sz w:val="32"/>
          <w:szCs w:val="32"/>
        </w:rPr>
        <w:t>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过程指标</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20</w:t>
      </w:r>
      <w:r>
        <w:rPr>
          <w:rFonts w:hint="eastAsia" w:ascii="仿宋_GB2312" w:hAnsi="仿宋_GB2312" w:cs="仿宋_GB2312"/>
          <w:color w:val="auto"/>
          <w:sz w:val="32"/>
          <w:szCs w:val="32"/>
          <w:lang w:val="zh-TW" w:eastAsia="zh-TW"/>
        </w:rPr>
        <w:t>%）、</w:t>
      </w:r>
      <w:r>
        <w:rPr>
          <w:rFonts w:hint="eastAsia" w:ascii="仿宋_GB2312" w:hAnsi="仿宋_GB2312" w:cs="仿宋_GB2312"/>
          <w:color w:val="auto"/>
          <w:sz w:val="32"/>
          <w:szCs w:val="32"/>
        </w:rPr>
        <w:t>产出指标（20%）、成本指标（10%）、效益指标（30%）五类</w:t>
      </w:r>
      <w:r>
        <w:rPr>
          <w:rFonts w:hint="eastAsia" w:ascii="仿宋_GB2312" w:hAnsi="仿宋_GB2312" w:cs="仿宋_GB2312"/>
          <w:color w:val="auto"/>
          <w:sz w:val="32"/>
          <w:szCs w:val="32"/>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highlight w:val="none"/>
        </w:rPr>
        <w:t>我单位经过一系列论证，从决策、过程、产出、成本和效果五个过程进行评价，涉及二级指标10个，三级指标17个，具体评价指标体</w:t>
      </w:r>
      <w:r>
        <w:rPr>
          <w:rFonts w:hint="eastAsia" w:ascii="仿宋_GB2312" w:hAnsi="仿宋_GB2312" w:cs="仿宋_GB2312"/>
          <w:color w:val="auto"/>
          <w:sz w:val="32"/>
          <w:szCs w:val="32"/>
        </w:rPr>
        <w:t>系附表说明：</w:t>
      </w:r>
    </w:p>
    <w:p>
      <w:pPr>
        <w:spacing w:line="600" w:lineRule="exact"/>
        <w:ind w:firstLine="640" w:firstLineChars="200"/>
        <w:jc w:val="left"/>
        <w:rPr>
          <w:rFonts w:ascii="仿宋_GB2312" w:hAnsi="仿宋_GB2312" w:cs="仿宋_GB2312"/>
          <w:color w:val="auto"/>
          <w:sz w:val="32"/>
          <w:szCs w:val="32"/>
        </w:rPr>
        <w:sectPr>
          <w:pgSz w:w="11906" w:h="16838"/>
          <w:pgMar w:top="2098" w:right="1531" w:bottom="1984" w:left="1531" w:header="737" w:footer="851" w:gutter="0"/>
          <w:cols w:space="720" w:num="1"/>
          <w:docGrid w:type="lines" w:linePitch="408" w:charSpace="0"/>
        </w:sectPr>
      </w:pP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3.评价方法</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 xml:space="preserve">成本效益分析法。是指将投入与产出、效益进行关联性分析的方法。 </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比较法。是指将实施情况与绩效目标、历史情况、不同部门和地区同类支出情况进行比较的方法。</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最低成本法。是指在绩效目标确定的前提下，成本最小者为优的方法。</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标杆管理法。是指以国内外同行业中较高的绩效水平为标杆进行评判的方法。</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结合本单位项目开展具体情况，我单位采用了比较法、成本效益分析法，通过着重</w:t>
      </w:r>
      <w:r>
        <w:rPr>
          <w:rFonts w:ascii="仿宋_GB2312" w:hAnsi="仿宋_GB2312" w:cs="仿宋_GB2312"/>
          <w:color w:val="auto"/>
          <w:sz w:val="32"/>
          <w:szCs w:val="32"/>
        </w:rPr>
        <w:t>比较项目的全部成本和效益来评估项目价值</w:t>
      </w:r>
      <w:r>
        <w:rPr>
          <w:rFonts w:hint="eastAsia" w:ascii="仿宋_GB2312" w:hAnsi="仿宋_GB2312" w:cs="仿宋_GB2312"/>
          <w:color w:val="auto"/>
          <w:sz w:val="32"/>
          <w:szCs w:val="32"/>
        </w:rPr>
        <w:t>，确定三级指标得分情况。</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4、评价标准</w:t>
      </w:r>
    </w:p>
    <w:p>
      <w:pPr>
        <w:spacing w:line="600" w:lineRule="exact"/>
        <w:ind w:firstLine="640" w:firstLineChars="200"/>
        <w:jc w:val="left"/>
        <w:rPr>
          <w:rFonts w:ascii="仿宋_GB2312" w:hAnsi="仿宋_GB2312" w:cs="仿宋_GB2312"/>
          <w:color w:val="auto"/>
          <w:sz w:val="32"/>
          <w:szCs w:val="32"/>
        </w:rPr>
      </w:pPr>
      <w:r>
        <w:rPr>
          <w:rFonts w:ascii="仿宋_GB2312" w:hAnsi="仿宋_GB2312" w:cs="仿宋_GB2312"/>
          <w:color w:val="auto"/>
          <w:sz w:val="32"/>
          <w:szCs w:val="32"/>
        </w:rPr>
        <w:t>绩效评价标准通常包括计划标准、行业标准、历史标准等，用于对绩效指标完成情况进行比较。</w:t>
      </w:r>
      <w:r>
        <w:rPr>
          <w:rFonts w:hint="eastAsia" w:ascii="仿宋_GB2312" w:hAnsi="仿宋_GB2312" w:cs="仿宋_GB2312"/>
          <w:color w:val="auto"/>
          <w:sz w:val="32"/>
          <w:szCs w:val="32"/>
        </w:rPr>
        <w:t>我单位针对该项目采用的历史评价标准，参考近三年绩效指标平均值、上年值，</w:t>
      </w:r>
      <w:r>
        <w:rPr>
          <w:rFonts w:ascii="仿宋_GB2312" w:hAnsi="仿宋_GB2312" w:cs="仿宋_GB2312"/>
          <w:color w:val="auto"/>
          <w:sz w:val="32"/>
          <w:szCs w:val="32"/>
        </w:rPr>
        <w:t>对绩效指标完成情况进行</w:t>
      </w:r>
      <w:r>
        <w:rPr>
          <w:rFonts w:hint="eastAsia" w:ascii="仿宋_GB2312" w:hAnsi="仿宋_GB2312" w:cs="仿宋_GB2312"/>
          <w:color w:val="auto"/>
          <w:sz w:val="32"/>
          <w:szCs w:val="32"/>
        </w:rPr>
        <w:t>评价</w:t>
      </w:r>
      <w:r>
        <w:rPr>
          <w:rFonts w:ascii="仿宋_GB2312" w:hAnsi="仿宋_GB2312" w:cs="仿宋_GB2312"/>
          <w:color w:val="auto"/>
          <w:sz w:val="32"/>
          <w:szCs w:val="32"/>
        </w:rPr>
        <w:t>。</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5、其他相关依据文件及项目单位提供的其他佐证材料等</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依据上述评价标准，项目部门需提供的佐证材料为工作资料：部门总结、相关业务资料等。说明材料：针对无直接佐证材料或者综合性的内容，由相关单位、人员出具正式说明。</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（三）绩效评价工作过程。</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为了提高财政资金分配的科学性、有效性，加强财政专项资金管理，提高支出效益，我单位自项目下达之日高度重视，具体绩效评价工作过程如下:</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1、确定绩效评价对象和范围</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2、收集绩效评价相关数据资料</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我单位根据需要采取要求相关部门提供资料，包括工作资料、部门总结、相关业务资料、原始凭证、合同、说明材料等。</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3、与项目相关科室交换意见</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我单位绩效评价工作人员及时将绩效评价结果反馈到相关部门，并就绩效评价结果进行积极的沟通，进一步完善评价报告。</w:t>
      </w:r>
    </w:p>
    <w:p>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三、综合评价情况及评价结论</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经认真对照《项目支出绩效评价指标体系》，我单位伙食补助和试训运动员津贴项目指标都较好地达到了相关要求，项目评价得分：</w:t>
      </w:r>
      <w:r>
        <w:rPr>
          <w:rFonts w:hint="eastAsia" w:ascii="仿宋_GB2312" w:hAnsi="仿宋_GB2312" w:cs="仿宋_GB2312"/>
          <w:color w:val="auto"/>
          <w:sz w:val="32"/>
          <w:szCs w:val="32"/>
          <w:lang w:val="en-US" w:eastAsia="zh-CN"/>
        </w:rPr>
        <w:t>99</w:t>
      </w:r>
      <w:r>
        <w:rPr>
          <w:rFonts w:hint="eastAsia" w:ascii="仿宋_GB2312" w:hAnsi="仿宋_GB2312" w:cs="仿宋_GB2312"/>
          <w:color w:val="auto"/>
          <w:sz w:val="32"/>
          <w:szCs w:val="32"/>
        </w:rPr>
        <w:t>分，评价等级为：优。具体得分情况附表说明：</w:t>
      </w:r>
    </w:p>
    <w:p>
      <w:pPr>
        <w:spacing w:line="600" w:lineRule="exact"/>
        <w:ind w:firstLine="643" w:firstLineChars="200"/>
        <w:jc w:val="left"/>
        <w:rPr>
          <w:rFonts w:ascii="仿宋_GB2312" w:hAnsi="仿宋_GB2312" w:cs="仿宋_GB2312"/>
          <w:b/>
          <w:bCs/>
          <w:color w:val="auto"/>
          <w:sz w:val="32"/>
          <w:szCs w:val="32"/>
        </w:rPr>
      </w:pPr>
      <w:r>
        <w:rPr>
          <w:rFonts w:hint="eastAsia" w:ascii="仿宋_GB2312" w:hAnsi="仿宋_GB2312" w:cs="仿宋_GB2312"/>
          <w:b/>
          <w:bCs/>
          <w:color w:val="auto"/>
          <w:sz w:val="32"/>
          <w:szCs w:val="32"/>
        </w:rPr>
        <w:t>四、绩效评价指标分析</w:t>
      </w:r>
    </w:p>
    <w:p>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（一）项目决策分析</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项目决策分析主要是对项目立项、绩效目标及资金投入进行分析。项目决策类指标由3个二级指标和6个三级指标构成，该项满分为20分，得分20分，得分率100%。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1、项目立项分析（得分6分）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（1）立项依据充分性（得分3分）</w:t>
      </w:r>
    </w:p>
    <w:p>
      <w:pPr>
        <w:spacing w:line="600" w:lineRule="exact"/>
        <w:ind w:firstLine="640" w:firstLineChars="200"/>
        <w:jc w:val="left"/>
        <w:rPr>
          <w:rFonts w:ascii="仿宋_GB2312"/>
          <w:color w:val="auto"/>
          <w:sz w:val="32"/>
          <w:szCs w:val="32"/>
        </w:rPr>
      </w:pPr>
      <w:r>
        <w:rPr>
          <w:rFonts w:hint="eastAsia" w:ascii="仿宋_GB2312"/>
          <w:color w:val="auto"/>
          <w:sz w:val="32"/>
          <w:szCs w:val="32"/>
        </w:rPr>
        <w:t>①项目立项依据根据新人社发[2009]6号关于印发《自治区体育运动员贯彻&lt;事业单位工作人员收入分配制度改革方案&gt;实施意见》的通知要求。新财教﹝2021﹞116号关于调整运动员、教练员伙食补助标准的通知；符合国家法律法规和相关政策；</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②项目立项依据《自治区财政资金使用跟踪反馈管理暂行办法》（新财预﹝2016﹞113)，符合部门或行业发展规划和政策要求；</w:t>
      </w:r>
    </w:p>
    <w:p>
      <w:pPr>
        <w:spacing w:line="360" w:lineRule="auto"/>
        <w:ind w:firstLine="640" w:firstLineChars="200"/>
        <w:outlineLvl w:val="0"/>
        <w:rPr>
          <w:rFonts w:ascii="仿宋_GB2312"/>
          <w:color w:val="auto"/>
          <w:sz w:val="32"/>
          <w:szCs w:val="32"/>
        </w:rPr>
      </w:pPr>
      <w:r>
        <w:rPr>
          <w:rFonts w:hint="eastAsia" w:ascii="仿宋_GB2312"/>
          <w:color w:val="auto"/>
          <w:sz w:val="32"/>
          <w:szCs w:val="32"/>
        </w:rPr>
        <w:t>③项目立项与部门职责范围相符，属于部门履职所需；新疆维吾尔自治区体育局足球运动管理中心，其职能职责为贯彻执行国家有关工作的法规、方针和政策；负责本次项目工作事宜；</w:t>
      </w:r>
    </w:p>
    <w:p>
      <w:pPr>
        <w:spacing w:line="360" w:lineRule="auto"/>
        <w:ind w:firstLine="640" w:firstLineChars="200"/>
        <w:outlineLvl w:val="0"/>
        <w:rPr>
          <w:rFonts w:ascii="仿宋_GB2312"/>
          <w:color w:val="auto"/>
          <w:sz w:val="32"/>
          <w:szCs w:val="32"/>
        </w:rPr>
      </w:pPr>
      <w:r>
        <w:rPr>
          <w:rFonts w:hint="eastAsia" w:ascii="仿宋_GB2312"/>
          <w:color w:val="auto"/>
          <w:sz w:val="32"/>
          <w:szCs w:val="32"/>
        </w:rPr>
        <w:t>④项目属于公共财政支持范围，符合中央、地方事权支出责任划分原则；</w:t>
      </w:r>
    </w:p>
    <w:p>
      <w:pPr>
        <w:spacing w:line="360" w:lineRule="auto"/>
        <w:ind w:firstLine="640" w:firstLineChars="200"/>
        <w:outlineLvl w:val="0"/>
        <w:rPr>
          <w:color w:val="auto"/>
        </w:rPr>
      </w:pPr>
      <w:r>
        <w:rPr>
          <w:rFonts w:hint="eastAsia" w:ascii="仿宋_GB2312"/>
          <w:color w:val="auto"/>
          <w:sz w:val="32"/>
          <w:szCs w:val="32"/>
        </w:rPr>
        <w:t>⑤项目未与相关部门同类项目或部门内部相关项目重复。</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（2）立项程序规范性（得分3分）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①项目按照规定的程序申请设立；</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②审批文件、材料符合相关要求；以相关法律、法规、规章以及财政部有关文件等为依据，并收集足够的相关文件及资料，通过现场调研为评估结论提供充分的依据支持。</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2、绩效目标分析（得分8分）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（1）绩效目标合理性（得分4分）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项目设定绩效目标；项目设定一级指标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个，二级指标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个，三级指标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个。项目绩效目标与实际工作内容具有相关性；项目预期产出效益和效果符合正常的业绩水平；与预算确定的项目投资额或资金量相匹配。</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（2）绩效指标明确性（得分4分）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项目实施有明确的年度目标，且将绩效目标细化为一级指标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个，二级指标</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个，三级指标</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个。</w:t>
      </w:r>
    </w:p>
    <w:p>
      <w:pPr>
        <w:pStyle w:val="13"/>
        <w:numPr>
          <w:ilvl w:val="0"/>
          <w:numId w:val="1"/>
        </w:numPr>
        <w:spacing w:line="600" w:lineRule="exact"/>
        <w:ind w:firstLineChars="0"/>
        <w:jc w:val="left"/>
        <w:rPr>
          <w:rFonts w:ascii="仿宋_GB2312" w:hAnsi="仿宋_GB2312" w:cs="仿宋_GB2312"/>
          <w:color w:val="auto"/>
          <w:sz w:val="32"/>
          <w:szCs w:val="32"/>
        </w:rPr>
      </w:pPr>
      <w:r>
        <w:rPr>
          <w:rFonts w:hint="eastAsia" w:ascii="仿宋_GB2312" w:hAnsi="仿宋_GB2312" w:cs="仿宋_GB2312"/>
          <w:color w:val="auto"/>
          <w:sz w:val="32"/>
          <w:szCs w:val="32"/>
        </w:rPr>
        <w:t>项目绩效目标细化分解为具体的绩效指标如下：</w:t>
      </w:r>
    </w:p>
    <w:p>
      <w:pPr>
        <w:spacing w:line="360" w:lineRule="auto"/>
        <w:ind w:firstLine="640" w:firstLineChars="200"/>
        <w:outlineLvl w:val="0"/>
        <w:rPr>
          <w:rFonts w:hint="eastAsia" w:ascii="仿宋_GB2312"/>
          <w:color w:val="auto"/>
          <w:sz w:val="32"/>
          <w:szCs w:val="32"/>
        </w:rPr>
      </w:pPr>
      <w:r>
        <w:rPr>
          <w:rFonts w:ascii="仿宋_GB2312" w:hAnsi="仿宋_GB2312" w:cs="仿宋_GB2312"/>
          <w:color w:val="auto"/>
          <w:sz w:val="32"/>
          <w:szCs w:val="32"/>
        </w:rPr>
        <w:t>数量指标</w:t>
      </w:r>
      <w:r>
        <w:rPr>
          <w:rFonts w:hint="eastAsia" w:ascii="仿宋_GB2312" w:hAnsi="仿宋_GB2312" w:cs="仿宋_GB2312"/>
          <w:color w:val="auto"/>
          <w:sz w:val="32"/>
          <w:szCs w:val="32"/>
        </w:rPr>
        <w:t>：</w:t>
      </w:r>
      <w:r>
        <w:rPr>
          <w:rFonts w:hint="eastAsia" w:ascii="仿宋_GB2312"/>
          <w:color w:val="auto"/>
          <w:sz w:val="32"/>
          <w:szCs w:val="32"/>
        </w:rPr>
        <w:t>餐饮伙食供应人数</w:t>
      </w:r>
      <w:r>
        <w:rPr>
          <w:rFonts w:ascii="仿宋_GB2312"/>
          <w:color w:val="auto"/>
          <w:sz w:val="32"/>
          <w:szCs w:val="32"/>
        </w:rPr>
        <w:t>&gt;=</w:t>
      </w:r>
      <w:r>
        <w:rPr>
          <w:rFonts w:hint="eastAsia" w:ascii="仿宋_GB2312"/>
          <w:color w:val="auto"/>
          <w:sz w:val="32"/>
          <w:szCs w:val="32"/>
        </w:rPr>
        <w:t>253人，</w:t>
      </w:r>
    </w:p>
    <w:p>
      <w:pPr>
        <w:spacing w:line="360" w:lineRule="auto"/>
        <w:ind w:firstLine="640" w:firstLineChars="200"/>
        <w:outlineLvl w:val="0"/>
        <w:rPr>
          <w:rFonts w:hint="eastAsia" w:ascii="仿宋_GB2312"/>
          <w:color w:val="auto"/>
          <w:sz w:val="32"/>
          <w:szCs w:val="32"/>
        </w:rPr>
      </w:pPr>
      <w:r>
        <w:rPr>
          <w:rFonts w:hint="eastAsia" w:ascii="仿宋_GB2312"/>
          <w:color w:val="auto"/>
          <w:sz w:val="32"/>
          <w:szCs w:val="32"/>
          <w:lang w:val="en-US" w:eastAsia="zh-CN"/>
        </w:rPr>
        <w:t>数量指标：</w:t>
      </w:r>
      <w:r>
        <w:rPr>
          <w:rFonts w:hint="eastAsia" w:ascii="仿宋_GB2312"/>
          <w:color w:val="auto"/>
          <w:sz w:val="32"/>
          <w:szCs w:val="32"/>
        </w:rPr>
        <w:t>运动员试训津贴发放人数&gt;=60人。</w:t>
      </w:r>
    </w:p>
    <w:p>
      <w:pPr>
        <w:pStyle w:val="2"/>
        <w:rPr>
          <w:rFonts w:hint="eastAsia" w:ascii="仿宋_GB2312"/>
          <w:color w:val="auto"/>
          <w:sz w:val="32"/>
          <w:szCs w:val="32"/>
          <w:lang w:val="en-US" w:eastAsia="zh-CN"/>
        </w:rPr>
      </w:pPr>
      <w:r>
        <w:rPr>
          <w:rFonts w:hint="eastAsia" w:ascii="仿宋_GB2312"/>
          <w:color w:val="auto"/>
          <w:sz w:val="32"/>
          <w:szCs w:val="32"/>
          <w:lang w:val="en-US" w:eastAsia="zh-CN"/>
        </w:rPr>
        <w:t>数量指标：训练补助发放人次数=12次。</w:t>
      </w:r>
    </w:p>
    <w:p>
      <w:pPr>
        <w:pStyle w:val="2"/>
        <w:rPr>
          <w:rFonts w:hint="default" w:ascii="仿宋_GB2312"/>
          <w:color w:val="auto"/>
          <w:sz w:val="32"/>
          <w:szCs w:val="32"/>
          <w:lang w:val="en-US" w:eastAsia="zh-CN"/>
        </w:rPr>
      </w:pPr>
      <w:r>
        <w:rPr>
          <w:rFonts w:hint="eastAsia" w:ascii="仿宋_GB2312"/>
          <w:color w:val="auto"/>
          <w:sz w:val="32"/>
          <w:szCs w:val="32"/>
          <w:lang w:val="en-US" w:eastAsia="zh-CN"/>
        </w:rPr>
        <w:t>数量指标：伙食费结算次数=12次。</w:t>
      </w:r>
    </w:p>
    <w:p>
      <w:pPr>
        <w:spacing w:line="360" w:lineRule="auto"/>
        <w:ind w:firstLine="640" w:firstLineChars="200"/>
        <w:outlineLvl w:val="0"/>
        <w:rPr>
          <w:rFonts w:ascii="仿宋_GB2312"/>
          <w:color w:val="auto"/>
        </w:rPr>
      </w:pPr>
      <w:r>
        <w:rPr>
          <w:rFonts w:ascii="仿宋_GB2312" w:hAnsi="仿宋_GB2312" w:cs="仿宋_GB2312"/>
          <w:color w:val="auto"/>
          <w:sz w:val="32"/>
          <w:szCs w:val="32"/>
        </w:rPr>
        <w:t>质量指标</w:t>
      </w:r>
      <w:r>
        <w:rPr>
          <w:rFonts w:hint="eastAsia" w:ascii="仿宋_GB2312" w:hAnsi="仿宋_GB2312" w:cs="仿宋_GB2312"/>
          <w:color w:val="auto"/>
          <w:sz w:val="32"/>
          <w:szCs w:val="32"/>
        </w:rPr>
        <w:t>：</w:t>
      </w:r>
      <w:r>
        <w:rPr>
          <w:rFonts w:hint="eastAsia" w:ascii="仿宋_GB2312"/>
          <w:color w:val="auto"/>
          <w:sz w:val="32"/>
          <w:szCs w:val="32"/>
        </w:rPr>
        <w:t>食品安全</w:t>
      </w:r>
      <w:r>
        <w:rPr>
          <w:rFonts w:hint="eastAsia" w:ascii="仿宋_GB2312"/>
          <w:color w:val="auto"/>
          <w:sz w:val="32"/>
          <w:szCs w:val="32"/>
          <w:lang w:val="en-US" w:eastAsia="zh-CN"/>
        </w:rPr>
        <w:t>达标</w:t>
      </w:r>
      <w:r>
        <w:rPr>
          <w:rFonts w:hint="eastAsia" w:ascii="仿宋_GB2312"/>
          <w:color w:val="auto"/>
          <w:sz w:val="32"/>
          <w:szCs w:val="32"/>
        </w:rPr>
        <w:t>率</w:t>
      </w:r>
      <w:r>
        <w:rPr>
          <w:rFonts w:ascii="仿宋_GB2312"/>
          <w:color w:val="auto"/>
          <w:sz w:val="32"/>
          <w:szCs w:val="32"/>
        </w:rPr>
        <w:t>&gt;=</w:t>
      </w:r>
      <w:r>
        <w:rPr>
          <w:rFonts w:hint="eastAsia" w:ascii="仿宋_GB2312"/>
          <w:color w:val="auto"/>
          <w:sz w:val="32"/>
          <w:szCs w:val="32"/>
          <w:lang w:val="en-US" w:eastAsia="zh-CN"/>
        </w:rPr>
        <w:t>98</w:t>
      </w:r>
      <w:r>
        <w:rPr>
          <w:rFonts w:hint="eastAsia" w:ascii="仿宋_GB2312"/>
          <w:color w:val="auto"/>
          <w:sz w:val="32"/>
          <w:szCs w:val="32"/>
        </w:rPr>
        <w:t>%</w:t>
      </w:r>
      <w:r>
        <w:rPr>
          <w:rFonts w:hint="eastAsia" w:ascii="仿宋_GB2312"/>
          <w:color w:val="auto"/>
        </w:rPr>
        <w:t>。</w:t>
      </w:r>
    </w:p>
    <w:p>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lang w:val="en-US" w:eastAsia="zh-CN"/>
        </w:rPr>
        <w:t>质量指标：</w:t>
      </w:r>
      <w:r>
        <w:rPr>
          <w:rFonts w:hint="eastAsia" w:ascii="仿宋_GB2312" w:hAnsi="仿宋_GB2312" w:cs="仿宋_GB2312"/>
          <w:color w:val="auto"/>
          <w:sz w:val="32"/>
          <w:szCs w:val="32"/>
        </w:rPr>
        <w:t>兴奋剂调查结果应用率</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w:t>
      </w:r>
    </w:p>
    <w:p>
      <w:pPr>
        <w:pStyle w:val="2"/>
        <w:rPr>
          <w:rFonts w:hint="default" w:eastAsia="仿宋_GB2312"/>
          <w:color w:val="auto"/>
          <w:lang w:val="en-US" w:eastAsia="zh-CN"/>
        </w:rPr>
      </w:pPr>
      <w:r>
        <w:rPr>
          <w:rFonts w:hint="eastAsia" w:ascii="仿宋_GB2312" w:hAnsi="仿宋_GB2312" w:cs="仿宋_GB2312"/>
          <w:color w:val="auto"/>
          <w:sz w:val="32"/>
          <w:szCs w:val="32"/>
          <w:lang w:val="en-US" w:eastAsia="zh-CN"/>
        </w:rPr>
        <w:t>质量指标：津贴发放准确率=100%</w:t>
      </w:r>
    </w:p>
    <w:p>
      <w:pPr>
        <w:spacing w:line="360" w:lineRule="auto"/>
        <w:ind w:firstLine="640" w:firstLineChars="200"/>
        <w:outlineLvl w:val="0"/>
        <w:rPr>
          <w:rFonts w:hint="eastAsia" w:ascii="仿宋_GB2312"/>
          <w:color w:val="auto"/>
          <w:sz w:val="32"/>
          <w:szCs w:val="32"/>
        </w:rPr>
      </w:pPr>
      <w:r>
        <w:rPr>
          <w:rFonts w:hint="eastAsia" w:ascii="仿宋_GB2312" w:hAnsi="仿宋_GB2312" w:cs="仿宋_GB2312"/>
          <w:color w:val="auto"/>
          <w:sz w:val="32"/>
          <w:szCs w:val="32"/>
        </w:rPr>
        <w:t>经济</w:t>
      </w:r>
      <w:r>
        <w:rPr>
          <w:rFonts w:ascii="仿宋_GB2312" w:hAnsi="仿宋_GB2312" w:cs="仿宋_GB2312"/>
          <w:color w:val="auto"/>
          <w:sz w:val="32"/>
          <w:szCs w:val="32"/>
        </w:rPr>
        <w:t>成本指标</w:t>
      </w:r>
      <w:r>
        <w:rPr>
          <w:rFonts w:hint="eastAsia" w:ascii="仿宋_GB2312" w:hAnsi="仿宋_GB2312" w:cs="仿宋_GB2312"/>
          <w:color w:val="auto"/>
          <w:sz w:val="32"/>
          <w:szCs w:val="32"/>
          <w:lang w:val="en-US" w:eastAsia="zh-CN"/>
        </w:rPr>
        <w:t>1</w:t>
      </w:r>
      <w:r>
        <w:rPr>
          <w:rFonts w:hint="eastAsia" w:ascii="仿宋_GB2312" w:hAnsi="仿宋_GB2312" w:cs="仿宋_GB2312"/>
          <w:color w:val="auto"/>
          <w:sz w:val="32"/>
          <w:szCs w:val="32"/>
        </w:rPr>
        <w:t>：</w:t>
      </w:r>
      <w:r>
        <w:rPr>
          <w:rFonts w:hint="eastAsia" w:ascii="仿宋_GB2312"/>
          <w:color w:val="auto"/>
          <w:sz w:val="32"/>
          <w:szCs w:val="32"/>
        </w:rPr>
        <w:t>运动员伙食费</w:t>
      </w:r>
      <w:r>
        <w:rPr>
          <w:rFonts w:hint="eastAsia" w:ascii="仿宋_GB2312"/>
          <w:color w:val="auto"/>
          <w:sz w:val="32"/>
          <w:szCs w:val="32"/>
          <w:lang w:val="en-US" w:eastAsia="zh-CN"/>
        </w:rPr>
        <w:t>≤</w:t>
      </w:r>
      <w:r>
        <w:rPr>
          <w:rFonts w:hint="eastAsia" w:ascii="仿宋_GB2312"/>
          <w:color w:val="auto"/>
          <w:sz w:val="32"/>
          <w:szCs w:val="32"/>
        </w:rPr>
        <w:t>241.</w:t>
      </w:r>
      <w:r>
        <w:rPr>
          <w:rFonts w:hint="eastAsia" w:ascii="仿宋_GB2312"/>
          <w:color w:val="auto"/>
          <w:sz w:val="32"/>
          <w:szCs w:val="32"/>
          <w:lang w:val="en-US" w:eastAsia="zh-CN"/>
        </w:rPr>
        <w:t>80</w:t>
      </w:r>
      <w:r>
        <w:rPr>
          <w:rFonts w:hint="eastAsia" w:ascii="仿宋_GB2312"/>
          <w:color w:val="auto"/>
          <w:sz w:val="32"/>
          <w:szCs w:val="32"/>
        </w:rPr>
        <w:t>万元，</w:t>
      </w:r>
    </w:p>
    <w:p>
      <w:pPr>
        <w:spacing w:line="360" w:lineRule="auto"/>
        <w:ind w:firstLine="640" w:firstLineChars="200"/>
        <w:outlineLvl w:val="0"/>
        <w:rPr>
          <w:rFonts w:ascii="仿宋_GB2312" w:hAnsi="仿宋_GB2312" w:cs="仿宋_GB2312"/>
          <w:color w:val="auto"/>
          <w:sz w:val="32"/>
          <w:szCs w:val="32"/>
        </w:rPr>
      </w:pPr>
      <w:r>
        <w:rPr>
          <w:rFonts w:hint="eastAsia" w:ascii="仿宋_GB2312" w:hAnsi="仿宋_GB2312" w:cs="仿宋_GB2312"/>
          <w:color w:val="auto"/>
          <w:sz w:val="32"/>
          <w:szCs w:val="32"/>
        </w:rPr>
        <w:t>经济</w:t>
      </w:r>
      <w:r>
        <w:rPr>
          <w:rFonts w:ascii="仿宋_GB2312" w:hAnsi="仿宋_GB2312" w:cs="仿宋_GB2312"/>
          <w:color w:val="auto"/>
          <w:sz w:val="32"/>
          <w:szCs w:val="32"/>
        </w:rPr>
        <w:t>成本指标</w:t>
      </w:r>
      <w:r>
        <w:rPr>
          <w:rFonts w:hint="eastAsia" w:ascii="仿宋_GB2312" w:hAnsi="仿宋_GB2312" w:cs="仿宋_GB2312"/>
          <w:color w:val="auto"/>
          <w:sz w:val="32"/>
          <w:szCs w:val="32"/>
          <w:lang w:val="en-US" w:eastAsia="zh-CN"/>
        </w:rPr>
        <w:t>2：</w:t>
      </w:r>
      <w:r>
        <w:rPr>
          <w:rFonts w:hint="eastAsia" w:ascii="仿宋_GB2312"/>
          <w:color w:val="auto"/>
          <w:sz w:val="32"/>
          <w:szCs w:val="32"/>
        </w:rPr>
        <w:t>试训运动员津贴</w:t>
      </w:r>
      <w:r>
        <w:rPr>
          <w:rFonts w:hint="eastAsia" w:ascii="仿宋_GB2312"/>
          <w:color w:val="auto"/>
          <w:sz w:val="32"/>
          <w:szCs w:val="32"/>
          <w:lang w:val="en-US" w:eastAsia="zh-CN"/>
        </w:rPr>
        <w:t>≤</w:t>
      </w:r>
      <w:r>
        <w:rPr>
          <w:rFonts w:hint="eastAsia" w:ascii="仿宋_GB2312"/>
          <w:color w:val="auto"/>
          <w:sz w:val="32"/>
          <w:szCs w:val="32"/>
        </w:rPr>
        <w:t>1</w:t>
      </w:r>
      <w:r>
        <w:rPr>
          <w:rFonts w:hint="eastAsia" w:ascii="仿宋_GB2312"/>
          <w:color w:val="auto"/>
          <w:sz w:val="32"/>
          <w:szCs w:val="32"/>
          <w:lang w:val="en-US" w:eastAsia="zh-CN"/>
        </w:rPr>
        <w:t>33.20</w:t>
      </w:r>
      <w:r>
        <w:rPr>
          <w:rFonts w:hint="eastAsia" w:ascii="仿宋_GB2312"/>
          <w:color w:val="auto"/>
          <w:sz w:val="32"/>
          <w:szCs w:val="32"/>
        </w:rPr>
        <w:t>万元。</w:t>
      </w:r>
    </w:p>
    <w:p>
      <w:pPr>
        <w:spacing w:line="600" w:lineRule="exact"/>
        <w:ind w:firstLine="640" w:firstLineChars="200"/>
        <w:jc w:val="left"/>
        <w:rPr>
          <w:rFonts w:ascii="仿宋_GB2312"/>
          <w:color w:val="auto"/>
        </w:rPr>
      </w:pPr>
      <w:r>
        <w:rPr>
          <w:rFonts w:ascii="仿宋_GB2312" w:hAnsi="仿宋_GB2312" w:cs="仿宋_GB2312"/>
          <w:color w:val="auto"/>
          <w:sz w:val="32"/>
          <w:szCs w:val="32"/>
        </w:rPr>
        <w:t>服务对象满意度指标</w:t>
      </w:r>
      <w:r>
        <w:rPr>
          <w:rFonts w:hint="eastAsia" w:ascii="仿宋_GB2312" w:hAnsi="仿宋_GB2312" w:cs="仿宋_GB2312"/>
          <w:color w:val="auto"/>
          <w:sz w:val="32"/>
          <w:szCs w:val="32"/>
        </w:rPr>
        <w:t>：</w:t>
      </w:r>
      <w:r>
        <w:rPr>
          <w:rFonts w:hint="eastAsia" w:ascii="仿宋_GB2312"/>
          <w:color w:val="auto"/>
          <w:sz w:val="32"/>
          <w:szCs w:val="32"/>
        </w:rPr>
        <w:t>受益运动员满意度≥90%</w:t>
      </w:r>
      <w:r>
        <w:rPr>
          <w:rFonts w:hint="eastAsia" w:ascii="仿宋_GB2312"/>
          <w:color w:val="auto"/>
        </w:rPr>
        <w:t>。</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②绩效指标通过清晰、可衡量的指标值予以体现；通过指标设定数与实际完成数对比，各项指标均已完成。</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③与项目目标任务数或计划数相对应。</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3、资金投入分析（得分6分）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预算编制科学性（得分3分）：本项目预算375万元，项目预算内容与项目内容相匹配，预算确定的项目资金量与实际工作完成所需资金量基本相适应。</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资金分配合理性（得分3分）：预算资金分配依据充分；资金分配额度与实际工作完成所需资金量相适应。</w:t>
      </w:r>
    </w:p>
    <w:p>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（二）过程情况分析</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项目过程指标由2个二级指标和5个三级指标构成，该项满分为20分，得分</w:t>
      </w:r>
      <w:r>
        <w:rPr>
          <w:rFonts w:hint="eastAsia" w:ascii="仿宋_GB2312" w:hAnsi="仿宋_GB2312" w:cs="仿宋_GB2312"/>
          <w:color w:val="auto"/>
          <w:sz w:val="32"/>
          <w:szCs w:val="32"/>
          <w:lang w:val="en-US" w:eastAsia="zh-CN"/>
        </w:rPr>
        <w:t>20</w:t>
      </w:r>
      <w:r>
        <w:rPr>
          <w:rFonts w:hint="eastAsia" w:ascii="仿宋_GB2312" w:hAnsi="仿宋_GB2312" w:cs="仿宋_GB2312"/>
          <w:color w:val="auto"/>
          <w:sz w:val="32"/>
          <w:szCs w:val="32"/>
        </w:rPr>
        <w:t>分，得分率</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%。项目建立了比较健全的配套资金管理制度，且在项目实施过程中能够按照管理执行。</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1、资金管理分析（得分12分）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（1）资金到位率（得分4分）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资金到位率用以反映和考核资金落实情况对项目实施的总体保障程度。资金到位率=（实际到位资金/预算资金）×100%。本项目实际到位资金375万元，预算资金375万元，资金到位率100%。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（2）预算执行率（得分</w:t>
      </w:r>
      <w:r>
        <w:rPr>
          <w:rFonts w:hint="eastAsia" w:ascii="仿宋_GB2312" w:hAnsi="仿宋_GB2312" w:cs="仿宋_GB2312"/>
          <w:color w:val="auto"/>
          <w:sz w:val="32"/>
          <w:szCs w:val="32"/>
          <w:lang w:val="en-US" w:eastAsia="zh-CN"/>
        </w:rPr>
        <w:t>4</w:t>
      </w:r>
      <w:r>
        <w:rPr>
          <w:rFonts w:hint="eastAsia" w:ascii="仿宋_GB2312" w:hAnsi="仿宋_GB2312" w:cs="仿宋_GB2312"/>
          <w:color w:val="auto"/>
          <w:sz w:val="32"/>
          <w:szCs w:val="32"/>
        </w:rPr>
        <w:t>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预算执行率</w:t>
      </w:r>
      <w:r>
        <w:rPr>
          <w:rFonts w:ascii="仿宋_GB2312" w:hAnsi="仿宋_GB2312" w:cs="仿宋_GB2312"/>
          <w:color w:val="auto"/>
          <w:sz w:val="32"/>
          <w:szCs w:val="32"/>
        </w:rPr>
        <w:t>用以反映或考核项目预算执行情况。预算执行率=（实际支出资金/实际到位资金）×100%。</w:t>
      </w:r>
      <w:r>
        <w:rPr>
          <w:rFonts w:hint="eastAsia" w:ascii="仿宋_GB2312" w:hAnsi="仿宋_GB2312" w:cs="仿宋_GB2312"/>
          <w:color w:val="auto"/>
          <w:sz w:val="32"/>
          <w:szCs w:val="32"/>
        </w:rPr>
        <w:t>本项目实际到位资金375万元，</w:t>
      </w:r>
      <w:r>
        <w:rPr>
          <w:rFonts w:ascii="仿宋_GB2312" w:hAnsi="仿宋_GB2312" w:cs="仿宋_GB2312"/>
          <w:color w:val="auto"/>
          <w:sz w:val="32"/>
          <w:szCs w:val="32"/>
        </w:rPr>
        <w:t>实际支出资金</w:t>
      </w:r>
      <w:r>
        <w:rPr>
          <w:rFonts w:hint="eastAsia" w:ascii="仿宋_GB2312" w:hAnsi="仿宋_GB2312" w:cs="仿宋_GB2312"/>
          <w:color w:val="auto"/>
          <w:sz w:val="32"/>
          <w:szCs w:val="32"/>
        </w:rPr>
        <w:t>3</w:t>
      </w:r>
      <w:r>
        <w:rPr>
          <w:rFonts w:hint="eastAsia" w:ascii="仿宋_GB2312" w:hAnsi="仿宋_GB2312" w:cs="仿宋_GB2312"/>
          <w:color w:val="auto"/>
          <w:sz w:val="32"/>
          <w:szCs w:val="32"/>
          <w:lang w:val="en-US" w:eastAsia="zh-CN"/>
        </w:rPr>
        <w:t>74.44</w:t>
      </w:r>
      <w:r>
        <w:rPr>
          <w:rFonts w:hint="eastAsia" w:ascii="仿宋_GB2312" w:hAnsi="仿宋_GB2312" w:cs="仿宋_GB2312"/>
          <w:color w:val="auto"/>
          <w:sz w:val="32"/>
          <w:szCs w:val="32"/>
        </w:rPr>
        <w:t>万元，预算执行率</w:t>
      </w:r>
      <w:r>
        <w:rPr>
          <w:rFonts w:hint="eastAsia" w:ascii="仿宋_GB2312" w:hAnsi="仿宋_GB2312" w:cs="仿宋_GB2312"/>
          <w:color w:val="auto"/>
          <w:sz w:val="32"/>
          <w:szCs w:val="32"/>
          <w:lang w:val="en-US" w:eastAsia="zh-CN"/>
        </w:rPr>
        <w:t>99.85</w:t>
      </w:r>
      <w:r>
        <w:rPr>
          <w:rFonts w:hint="eastAsia" w:ascii="仿宋_GB2312" w:hAnsi="仿宋_GB2312" w:cs="仿宋_GB2312"/>
          <w:color w:val="auto"/>
          <w:sz w:val="32"/>
          <w:szCs w:val="32"/>
        </w:rPr>
        <w:t>%。本项目任务已全部完成。</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（3）资金使用合规性（得分4分）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ascii="仿宋_GB2312" w:hAnsi="仿宋_GB2312" w:cs="仿宋_GB2312"/>
          <w:color w:val="auto"/>
          <w:sz w:val="32"/>
          <w:szCs w:val="32"/>
        </w:rPr>
        <w:t>资金的拨付有完整的审批程序和手续；符合项目预算批复或合同规定的用途；</w:t>
      </w:r>
      <w:r>
        <w:rPr>
          <w:rFonts w:hint="eastAsia" w:ascii="仿宋_GB2312" w:hAnsi="仿宋_GB2312" w:cs="仿宋_GB2312"/>
          <w:color w:val="auto"/>
          <w:sz w:val="32"/>
          <w:szCs w:val="32"/>
        </w:rPr>
        <w:t>不</w:t>
      </w:r>
      <w:r>
        <w:rPr>
          <w:rFonts w:ascii="仿宋_GB2312" w:hAnsi="仿宋_GB2312" w:cs="仿宋_GB2312"/>
          <w:color w:val="auto"/>
          <w:sz w:val="32"/>
          <w:szCs w:val="32"/>
        </w:rPr>
        <w:t>存在截留、挤占、挪用、虚列支出等情况</w:t>
      </w:r>
      <w:r>
        <w:rPr>
          <w:rFonts w:hint="eastAsia" w:ascii="仿宋_GB2312" w:hAnsi="仿宋_GB2312" w:cs="仿宋_GB2312"/>
          <w:color w:val="auto"/>
          <w:sz w:val="32"/>
          <w:szCs w:val="32"/>
        </w:rPr>
        <w:t>。</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2、组织实施分析（得分8分）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（1）管理制度健全性（得分4分）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（2）制度执行有效性（得分4分）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资金严格按照根据《中华人民共和国预算法》，加强对项目资金的预算执行及日常监督管理，确保每个项目按照规定的用途实施。资金拨付坚持按项目、预算、进度、指定用途拨款，确保财政专项资金规范使用。</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项目立项依据、实施方案、财务信息等资料齐全并及时归档；项目实施的人员条件、场地设备、信息支撑等落实到位。</w:t>
      </w:r>
    </w:p>
    <w:p>
      <w:pPr>
        <w:spacing w:line="560" w:lineRule="exact"/>
        <w:ind w:firstLine="643" w:firstLineChars="200"/>
        <w:outlineLvl w:val="0"/>
        <w:rPr>
          <w:rFonts w:ascii="仿宋" w:hAnsi="仿宋" w:eastAsia="仿宋" w:cs="仿宋"/>
          <w:b/>
          <w:bCs/>
          <w:color w:val="auto"/>
          <w:sz w:val="32"/>
          <w:szCs w:val="32"/>
        </w:rPr>
      </w:pPr>
      <w:r>
        <w:rPr>
          <w:rFonts w:hint="eastAsia" w:ascii="仿宋" w:hAnsi="仿宋" w:eastAsia="仿宋" w:cs="仿宋"/>
          <w:b/>
          <w:bCs/>
          <w:color w:val="auto"/>
          <w:sz w:val="32"/>
          <w:szCs w:val="32"/>
        </w:rPr>
        <w:t>（三）产出情况分析</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项目产出包括产出数量、产出质量和产出时效3个二级指标。该项满分为20分，得分20分，得分率100%。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1、产出数量分析（得分</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数量指标：指标1：训练补助津贴发放次数，指标值：</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12次，实际完成值12次，指标完成率100%。</w:t>
      </w:r>
    </w:p>
    <w:p>
      <w:pPr>
        <w:spacing w:line="600" w:lineRule="exact"/>
        <w:ind w:firstLine="640" w:firstLineChars="200"/>
        <w:jc w:val="left"/>
        <w:rPr>
          <w:rFonts w:hint="eastAsia" w:ascii="仿宋_GB2312"/>
          <w:color w:val="auto"/>
          <w:sz w:val="32"/>
          <w:szCs w:val="32"/>
          <w:lang w:val="en-US" w:eastAsia="zh-CN"/>
        </w:rPr>
      </w:pPr>
      <w:r>
        <w:rPr>
          <w:rFonts w:hint="eastAsia" w:ascii="仿宋_GB2312" w:hAnsi="仿宋_GB2312" w:cs="仿宋_GB2312"/>
          <w:color w:val="auto"/>
          <w:sz w:val="32"/>
          <w:szCs w:val="32"/>
          <w:lang w:val="en-US" w:eastAsia="zh-CN"/>
        </w:rPr>
        <w:t>指标2：运动员试训津贴发放人数</w:t>
      </w:r>
      <w:r>
        <w:rPr>
          <w:rFonts w:ascii="仿宋_GB2312"/>
          <w:color w:val="auto"/>
          <w:sz w:val="32"/>
          <w:szCs w:val="32"/>
        </w:rPr>
        <w:t>&gt;=</w:t>
      </w:r>
      <w:r>
        <w:rPr>
          <w:rFonts w:hint="eastAsia" w:ascii="仿宋_GB2312"/>
          <w:color w:val="auto"/>
          <w:sz w:val="32"/>
          <w:szCs w:val="32"/>
          <w:lang w:val="en-US" w:eastAsia="zh-CN"/>
        </w:rPr>
        <w:t>60人，</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60人</w:t>
      </w:r>
      <w:r>
        <w:rPr>
          <w:rFonts w:hint="eastAsia" w:ascii="仿宋_GB2312" w:hAnsi="仿宋_GB2312" w:cs="仿宋_GB2312"/>
          <w:color w:val="auto"/>
          <w:sz w:val="32"/>
          <w:szCs w:val="32"/>
          <w:lang w:eastAsia="zh-CN"/>
        </w:rPr>
        <w:t>，</w:t>
      </w:r>
      <w:r>
        <w:rPr>
          <w:rFonts w:hint="eastAsia" w:ascii="仿宋_GB2312"/>
          <w:color w:val="auto"/>
          <w:sz w:val="32"/>
          <w:szCs w:val="32"/>
          <w:lang w:val="en-US" w:eastAsia="zh-CN"/>
        </w:rPr>
        <w:t>指标完成率100%。</w:t>
      </w:r>
    </w:p>
    <w:p>
      <w:pPr>
        <w:spacing w:line="600" w:lineRule="exact"/>
        <w:ind w:firstLine="640" w:firstLineChars="200"/>
        <w:jc w:val="left"/>
        <w:rPr>
          <w:rFonts w:hint="eastAsia" w:ascii="仿宋_GB2312"/>
          <w:color w:val="auto"/>
          <w:sz w:val="32"/>
          <w:szCs w:val="32"/>
          <w:lang w:val="en-US" w:eastAsia="zh-CN"/>
        </w:rPr>
      </w:pPr>
      <w:r>
        <w:rPr>
          <w:rFonts w:hint="eastAsia" w:ascii="仿宋_GB2312"/>
          <w:color w:val="auto"/>
          <w:sz w:val="32"/>
          <w:szCs w:val="32"/>
          <w:lang w:val="en-US" w:eastAsia="zh-CN"/>
        </w:rPr>
        <w:t>指标3：伙食费结算次数=12次，</w:t>
      </w:r>
      <w:r>
        <w:rPr>
          <w:rFonts w:hint="eastAsia" w:ascii="仿宋_GB2312" w:hAnsi="仿宋_GB2312" w:cs="仿宋_GB2312"/>
          <w:color w:val="auto"/>
          <w:sz w:val="32"/>
          <w:szCs w:val="32"/>
        </w:rPr>
        <w:t>实际完成值12次，</w:t>
      </w:r>
      <w:r>
        <w:rPr>
          <w:rFonts w:hint="eastAsia" w:ascii="仿宋_GB2312"/>
          <w:color w:val="auto"/>
          <w:sz w:val="32"/>
          <w:szCs w:val="32"/>
          <w:lang w:val="en-US" w:eastAsia="zh-CN"/>
        </w:rPr>
        <w:t>指标完成率100%。</w:t>
      </w:r>
    </w:p>
    <w:p>
      <w:pPr>
        <w:spacing w:line="600" w:lineRule="exact"/>
        <w:ind w:firstLine="640" w:firstLineChars="200"/>
        <w:jc w:val="left"/>
        <w:rPr>
          <w:rFonts w:hint="default" w:ascii="仿宋_GB2312" w:hAnsi="仿宋_GB2312" w:eastAsia="仿宋_GB2312" w:cs="仿宋_GB2312"/>
          <w:color w:val="auto"/>
          <w:sz w:val="32"/>
          <w:szCs w:val="32"/>
          <w:lang w:val="en-US" w:eastAsia="zh-CN"/>
        </w:rPr>
      </w:pPr>
      <w:r>
        <w:rPr>
          <w:rFonts w:hint="eastAsia" w:ascii="仿宋_GB2312"/>
          <w:color w:val="auto"/>
          <w:sz w:val="32"/>
          <w:szCs w:val="32"/>
          <w:lang w:val="en-US" w:eastAsia="zh-CN"/>
        </w:rPr>
        <w:t>指标4：餐饮伙食供应人数</w:t>
      </w:r>
      <w:r>
        <w:rPr>
          <w:rFonts w:ascii="仿宋_GB2312"/>
          <w:color w:val="auto"/>
          <w:sz w:val="32"/>
          <w:szCs w:val="32"/>
        </w:rPr>
        <w:t>&gt;=</w:t>
      </w:r>
      <w:r>
        <w:rPr>
          <w:rFonts w:hint="eastAsia" w:ascii="仿宋_GB2312"/>
          <w:color w:val="auto"/>
          <w:sz w:val="32"/>
          <w:szCs w:val="32"/>
          <w:lang w:val="en-US" w:eastAsia="zh-CN"/>
        </w:rPr>
        <w:t>253人，</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253人</w:t>
      </w:r>
      <w:r>
        <w:rPr>
          <w:rFonts w:hint="eastAsia" w:ascii="仿宋_GB2312" w:hAnsi="仿宋_GB2312" w:cs="仿宋_GB2312"/>
          <w:color w:val="auto"/>
          <w:sz w:val="32"/>
          <w:szCs w:val="32"/>
        </w:rPr>
        <w:t>，</w:t>
      </w:r>
      <w:r>
        <w:rPr>
          <w:rFonts w:hint="eastAsia" w:ascii="仿宋_GB2312"/>
          <w:color w:val="auto"/>
          <w:sz w:val="32"/>
          <w:szCs w:val="32"/>
          <w:lang w:val="en-US" w:eastAsia="zh-CN"/>
        </w:rPr>
        <w:t>指标完成率100%。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2、产出质量分析（得分</w:t>
      </w:r>
      <w:r>
        <w:rPr>
          <w:rFonts w:hint="eastAsia" w:ascii="仿宋_GB2312" w:hAnsi="仿宋_GB2312" w:cs="仿宋_GB2312"/>
          <w:color w:val="auto"/>
          <w:sz w:val="32"/>
          <w:szCs w:val="32"/>
          <w:lang w:val="en-US" w:eastAsia="zh-CN"/>
        </w:rPr>
        <w:t>10</w:t>
      </w:r>
      <w:r>
        <w:rPr>
          <w:rFonts w:hint="eastAsia" w:ascii="仿宋_GB2312" w:hAnsi="仿宋_GB2312" w:cs="仿宋_GB2312"/>
          <w:color w:val="auto"/>
          <w:sz w:val="32"/>
          <w:szCs w:val="32"/>
        </w:rPr>
        <w:t>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质量指标：指标1：食品安全达标率，指标值：</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98%，实际完成值100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，指标完成率100%。</w:t>
      </w:r>
      <w:r>
        <w:rPr>
          <w:rFonts w:hint="eastAsia" w:ascii="仿宋_GB2312"/>
          <w:color w:val="auto"/>
          <w:sz w:val="32"/>
          <w:szCs w:val="32"/>
        </w:rPr>
        <w:t>本项目质量达标率100%。</w:t>
      </w:r>
    </w:p>
    <w:p>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en-US" w:eastAsia="zh-CN"/>
        </w:rPr>
        <w:t>2</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兴奋剂调查结果应用</w:t>
      </w:r>
      <w:r>
        <w:rPr>
          <w:rFonts w:hint="eastAsia" w:ascii="仿宋_GB2312" w:hAnsi="仿宋_GB2312" w:cs="仿宋_GB2312"/>
          <w:color w:val="auto"/>
          <w:sz w:val="32"/>
          <w:szCs w:val="32"/>
        </w:rPr>
        <w:t>率，指标值：</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，实际完成值</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，指标完成率100%。</w:t>
      </w:r>
      <w:r>
        <w:rPr>
          <w:rFonts w:hint="eastAsia" w:ascii="仿宋_GB2312"/>
          <w:color w:val="auto"/>
          <w:sz w:val="32"/>
          <w:szCs w:val="32"/>
        </w:rPr>
        <w:t>本项目质量达标率100%。</w:t>
      </w:r>
    </w:p>
    <w:p>
      <w:pPr>
        <w:spacing w:line="600" w:lineRule="exact"/>
        <w:ind w:firstLine="640" w:firstLineChars="200"/>
        <w:jc w:val="left"/>
        <w:rPr>
          <w:rFonts w:hint="eastAsia" w:ascii="仿宋_GB2312" w:hAnsi="仿宋_GB2312" w:cs="仿宋_GB2312"/>
          <w:color w:val="auto"/>
          <w:sz w:val="32"/>
          <w:szCs w:val="32"/>
        </w:rPr>
      </w:pPr>
      <w:r>
        <w:rPr>
          <w:rFonts w:hint="eastAsia" w:ascii="仿宋_GB2312" w:hAnsi="仿宋_GB2312" w:cs="仿宋_GB2312"/>
          <w:color w:val="auto"/>
          <w:sz w:val="32"/>
          <w:szCs w:val="32"/>
        </w:rPr>
        <w:t>指标</w:t>
      </w:r>
      <w:r>
        <w:rPr>
          <w:rFonts w:hint="eastAsia" w:ascii="仿宋_GB2312" w:hAnsi="仿宋_GB2312" w:cs="仿宋_GB2312"/>
          <w:color w:val="auto"/>
          <w:sz w:val="32"/>
          <w:szCs w:val="32"/>
          <w:lang w:val="en-US" w:eastAsia="zh-CN"/>
        </w:rPr>
        <w:t>3</w:t>
      </w:r>
      <w:r>
        <w:rPr>
          <w:rFonts w:hint="eastAsia" w:ascii="仿宋_GB2312" w:hAnsi="仿宋_GB2312" w:cs="仿宋_GB2312"/>
          <w:color w:val="auto"/>
          <w:sz w:val="32"/>
          <w:szCs w:val="32"/>
        </w:rPr>
        <w:t>：</w:t>
      </w:r>
      <w:r>
        <w:rPr>
          <w:rFonts w:hint="eastAsia" w:ascii="仿宋_GB2312" w:hAnsi="仿宋_GB2312" w:cs="仿宋_GB2312"/>
          <w:color w:val="auto"/>
          <w:sz w:val="32"/>
          <w:szCs w:val="32"/>
          <w:lang w:val="en-US" w:eastAsia="zh-CN"/>
        </w:rPr>
        <w:t>津贴发放准确</w:t>
      </w:r>
      <w:r>
        <w:rPr>
          <w:rFonts w:hint="eastAsia" w:ascii="仿宋_GB2312" w:hAnsi="仿宋_GB2312" w:cs="仿宋_GB2312"/>
          <w:color w:val="auto"/>
          <w:sz w:val="32"/>
          <w:szCs w:val="32"/>
        </w:rPr>
        <w:t>率，指标值：</w:t>
      </w:r>
      <w:r>
        <w:rPr>
          <w:rFonts w:hint="eastAsia" w:ascii="仿宋_GB2312" w:hAnsi="仿宋_GB2312" w:cs="仿宋_GB2312"/>
          <w:color w:val="auto"/>
          <w:sz w:val="32"/>
          <w:szCs w:val="32"/>
          <w:lang w:val="en-US" w:eastAsia="zh-CN"/>
        </w:rPr>
        <w:t>=100%</w:t>
      </w:r>
      <w:r>
        <w:rPr>
          <w:rFonts w:hint="eastAsia" w:ascii="仿宋_GB2312" w:hAnsi="仿宋_GB2312" w:cs="仿宋_GB2312"/>
          <w:color w:val="auto"/>
          <w:sz w:val="32"/>
          <w:szCs w:val="32"/>
        </w:rPr>
        <w:t>，实际完成值100</w:t>
      </w:r>
      <w:r>
        <w:rPr>
          <w:rFonts w:hint="eastAsia" w:ascii="仿宋_GB2312" w:hAnsi="仿宋_GB2312" w:cs="仿宋_GB2312"/>
          <w:color w:val="auto"/>
          <w:sz w:val="32"/>
          <w:szCs w:val="32"/>
          <w:lang w:val="en-US" w:eastAsia="zh-CN"/>
        </w:rPr>
        <w:t>%</w:t>
      </w:r>
      <w:r>
        <w:rPr>
          <w:rFonts w:hint="eastAsia" w:ascii="仿宋_GB2312" w:hAnsi="仿宋_GB2312" w:cs="仿宋_GB2312"/>
          <w:color w:val="auto"/>
          <w:sz w:val="32"/>
          <w:szCs w:val="32"/>
        </w:rPr>
        <w:t>，指标完成率100%。</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3、产出时效分析（得分</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分）</w:t>
      </w:r>
    </w:p>
    <w:p>
      <w:pPr>
        <w:spacing w:line="560" w:lineRule="exact"/>
        <w:ind w:firstLine="640" w:firstLineChars="200"/>
        <w:outlineLvl w:val="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无此项指标</w:t>
      </w:r>
    </w:p>
    <w:p>
      <w:pPr>
        <w:spacing w:line="560" w:lineRule="exact"/>
        <w:ind w:firstLine="643" w:firstLineChars="200"/>
        <w:outlineLvl w:val="0"/>
        <w:rPr>
          <w:rFonts w:ascii="仿宋" w:hAnsi="仿宋" w:eastAsia="仿宋" w:cs="仿宋"/>
          <w:b/>
          <w:bCs/>
          <w:color w:val="auto"/>
          <w:sz w:val="32"/>
          <w:szCs w:val="32"/>
          <w:lang w:val="zh-TW" w:eastAsia="zh-TW"/>
        </w:rPr>
      </w:pP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四</w:t>
      </w:r>
      <w:r>
        <w:rPr>
          <w:rFonts w:hint="eastAsia" w:ascii="仿宋" w:hAnsi="仿宋" w:eastAsia="仿宋" w:cs="仿宋"/>
          <w:b/>
          <w:bCs/>
          <w:color w:val="auto"/>
          <w:sz w:val="32"/>
          <w:szCs w:val="32"/>
          <w:lang w:val="zh-TW" w:eastAsia="zh-TW"/>
        </w:rPr>
        <w:t>）</w:t>
      </w:r>
      <w:r>
        <w:rPr>
          <w:rFonts w:hint="eastAsia" w:ascii="仿宋" w:hAnsi="仿宋" w:eastAsia="仿宋" w:cs="仿宋"/>
          <w:b/>
          <w:bCs/>
          <w:color w:val="auto"/>
          <w:sz w:val="32"/>
          <w:szCs w:val="32"/>
        </w:rPr>
        <w:t>成本</w:t>
      </w:r>
      <w:r>
        <w:rPr>
          <w:rFonts w:hint="eastAsia" w:ascii="仿宋" w:hAnsi="仿宋" w:eastAsia="仿宋" w:cs="仿宋"/>
          <w:b/>
          <w:bCs/>
          <w:color w:val="auto"/>
          <w:sz w:val="32"/>
          <w:szCs w:val="32"/>
          <w:lang w:val="zh-TW" w:eastAsia="zh-TW"/>
        </w:rPr>
        <w:t>情况分析</w:t>
      </w:r>
    </w:p>
    <w:p>
      <w:pPr>
        <w:spacing w:line="560" w:lineRule="exact"/>
        <w:ind w:firstLine="640" w:firstLineChars="200"/>
        <w:outlineLvl w:val="0"/>
        <w:rPr>
          <w:rFonts w:ascii="仿宋" w:hAnsi="仿宋" w:eastAsia="仿宋" w:cs="仿宋"/>
          <w:color w:val="auto"/>
          <w:sz w:val="32"/>
          <w:szCs w:val="32"/>
          <w:highlight w:val="none"/>
          <w:lang w:val="zh-TW" w:eastAsia="zh-TW"/>
        </w:rPr>
      </w:pPr>
      <w:r>
        <w:rPr>
          <w:rFonts w:hint="eastAsia" w:ascii="仿宋" w:hAnsi="仿宋" w:eastAsia="仿宋" w:cs="仿宋"/>
          <w:color w:val="auto"/>
          <w:sz w:val="32"/>
          <w:szCs w:val="32"/>
          <w:highlight w:val="none"/>
          <w:lang w:val="zh-TW" w:eastAsia="zh-TW"/>
        </w:rPr>
        <w:t>项目</w:t>
      </w:r>
      <w:r>
        <w:rPr>
          <w:rFonts w:hint="eastAsia" w:ascii="仿宋" w:hAnsi="仿宋" w:eastAsia="仿宋" w:cs="仿宋"/>
          <w:color w:val="auto"/>
          <w:sz w:val="32"/>
          <w:szCs w:val="32"/>
          <w:highlight w:val="none"/>
        </w:rPr>
        <w:t>成本共1个二级指标</w:t>
      </w:r>
      <w:r>
        <w:rPr>
          <w:rFonts w:hint="eastAsia" w:ascii="仿宋" w:hAnsi="仿宋" w:eastAsia="仿宋" w:cs="仿宋"/>
          <w:color w:val="auto"/>
          <w:sz w:val="32"/>
          <w:szCs w:val="32"/>
          <w:highlight w:val="none"/>
          <w:lang w:val="zh-TW" w:eastAsia="zh-TW"/>
        </w:rPr>
        <w:t>。该项满分为</w:t>
      </w:r>
      <w:r>
        <w:rPr>
          <w:rFonts w:hint="eastAsia" w:ascii="仿宋" w:hAnsi="仿宋" w:eastAsia="仿宋" w:cs="仿宋"/>
          <w:color w:val="auto"/>
          <w:sz w:val="32"/>
          <w:szCs w:val="32"/>
          <w:highlight w:val="none"/>
        </w:rPr>
        <w:t>10</w:t>
      </w:r>
      <w:r>
        <w:rPr>
          <w:rFonts w:hint="eastAsia" w:ascii="仿宋" w:hAnsi="仿宋" w:eastAsia="仿宋" w:cs="仿宋"/>
          <w:color w:val="auto"/>
          <w:sz w:val="32"/>
          <w:szCs w:val="32"/>
          <w:highlight w:val="none"/>
          <w:lang w:val="zh-TW" w:eastAsia="zh-TW"/>
        </w:rPr>
        <w:t>分，得分</w:t>
      </w:r>
      <w:r>
        <w:rPr>
          <w:rFonts w:hint="eastAsia" w:ascii="仿宋" w:hAnsi="仿宋" w:eastAsia="仿宋" w:cs="仿宋"/>
          <w:color w:val="auto"/>
          <w:sz w:val="32"/>
          <w:szCs w:val="32"/>
          <w:highlight w:val="none"/>
        </w:rPr>
        <w:t>9</w:t>
      </w:r>
      <w:r>
        <w:rPr>
          <w:rFonts w:hint="eastAsia" w:ascii="仿宋" w:hAnsi="仿宋" w:eastAsia="仿宋" w:cs="仿宋"/>
          <w:color w:val="auto"/>
          <w:sz w:val="32"/>
          <w:szCs w:val="32"/>
          <w:highlight w:val="none"/>
          <w:lang w:val="zh-TW" w:eastAsia="zh-TW"/>
        </w:rPr>
        <w:t>分，得分率</w:t>
      </w:r>
      <w:r>
        <w:rPr>
          <w:rFonts w:hint="eastAsia" w:ascii="仿宋" w:hAnsi="仿宋" w:eastAsia="仿宋" w:cs="仿宋"/>
          <w:color w:val="auto"/>
          <w:sz w:val="32"/>
          <w:szCs w:val="32"/>
          <w:highlight w:val="none"/>
        </w:rPr>
        <w:t>90</w:t>
      </w:r>
      <w:r>
        <w:rPr>
          <w:rFonts w:hint="eastAsia" w:ascii="仿宋" w:hAnsi="仿宋" w:eastAsia="仿宋" w:cs="仿宋"/>
          <w:color w:val="auto"/>
          <w:sz w:val="32"/>
          <w:szCs w:val="32"/>
          <w:highlight w:val="none"/>
          <w:lang w:val="zh-TW" w:eastAsia="zh-TW"/>
        </w:rPr>
        <w:t>%。</w:t>
      </w:r>
    </w:p>
    <w:p>
      <w:pPr>
        <w:spacing w:line="560" w:lineRule="exact"/>
        <w:ind w:firstLine="640" w:firstLineChars="200"/>
        <w:outlineLvl w:val="0"/>
        <w:rPr>
          <w:rFonts w:ascii="仿宋" w:hAnsi="仿宋" w:eastAsia="仿宋" w:cs="仿宋"/>
          <w:color w:val="auto"/>
          <w:sz w:val="32"/>
          <w:szCs w:val="32"/>
          <w:highlight w:val="none"/>
        </w:rPr>
      </w:pPr>
      <w:r>
        <w:rPr>
          <w:rFonts w:hint="eastAsia" w:ascii="仿宋" w:hAnsi="仿宋" w:eastAsia="仿宋" w:cs="仿宋"/>
          <w:color w:val="auto"/>
          <w:sz w:val="32"/>
          <w:szCs w:val="32"/>
          <w:highlight w:val="none"/>
        </w:rPr>
        <w:t>1、成本指标分析（得分9分）</w:t>
      </w:r>
    </w:p>
    <w:p>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经济成本指标：指标1：运动员伙食费，指标值：&lt;</w:t>
      </w:r>
      <w:r>
        <w:rPr>
          <w:rFonts w:hint="eastAsia" w:ascii="仿宋" w:hAnsi="仿宋" w:eastAsia="仿宋" w:cs="仿宋"/>
          <w:color w:val="auto"/>
          <w:sz w:val="32"/>
          <w:szCs w:val="32"/>
          <w:highlight w:val="none"/>
          <w:lang w:val="en-US" w:eastAsia="zh-CN"/>
        </w:rPr>
        <w:t>=</w:t>
      </w:r>
      <w:r>
        <w:rPr>
          <w:rFonts w:hint="eastAsia" w:ascii="仿宋" w:hAnsi="仿宋" w:eastAsia="仿宋" w:cs="仿宋"/>
          <w:color w:val="auto"/>
          <w:sz w:val="32"/>
          <w:szCs w:val="32"/>
          <w:highlight w:val="none"/>
        </w:rPr>
        <w:t>241.8万元，实际完成值241.24万元，指标完成率</w:t>
      </w:r>
      <w:r>
        <w:rPr>
          <w:rFonts w:hint="eastAsia" w:ascii="仿宋" w:hAnsi="仿宋" w:eastAsia="仿宋" w:cs="仿宋"/>
          <w:color w:val="auto"/>
          <w:sz w:val="32"/>
          <w:szCs w:val="32"/>
          <w:highlight w:val="none"/>
          <w:lang w:val="en-US" w:eastAsia="zh-CN"/>
        </w:rPr>
        <w:t>100</w:t>
      </w:r>
      <w:r>
        <w:rPr>
          <w:rFonts w:hint="eastAsia" w:ascii="仿宋" w:hAnsi="仿宋" w:eastAsia="仿宋" w:cs="仿宋"/>
          <w:color w:val="auto"/>
          <w:sz w:val="32"/>
          <w:szCs w:val="32"/>
          <w:highlight w:val="none"/>
        </w:rPr>
        <w:t>%。</w:t>
      </w:r>
    </w:p>
    <w:p>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指标2：试训运动员津贴，指标值：&lt;=133.2万元，实际完成值1</w:t>
      </w:r>
      <w:r>
        <w:rPr>
          <w:rFonts w:hint="eastAsia" w:ascii="仿宋" w:hAnsi="仿宋" w:eastAsia="仿宋" w:cs="仿宋"/>
          <w:color w:val="auto"/>
          <w:sz w:val="32"/>
          <w:szCs w:val="32"/>
          <w:highlight w:val="none"/>
          <w:lang w:val="en-US" w:eastAsia="zh-CN"/>
        </w:rPr>
        <w:t>33.2</w:t>
      </w:r>
      <w:r>
        <w:rPr>
          <w:rFonts w:hint="eastAsia" w:ascii="仿宋" w:hAnsi="仿宋" w:eastAsia="仿宋" w:cs="仿宋"/>
          <w:color w:val="auto"/>
          <w:sz w:val="32"/>
          <w:szCs w:val="32"/>
          <w:highlight w:val="none"/>
        </w:rPr>
        <w:t>万元，指标完成率</w:t>
      </w:r>
      <w:r>
        <w:rPr>
          <w:rFonts w:hint="eastAsia" w:ascii="仿宋" w:hAnsi="仿宋" w:eastAsia="仿宋" w:cs="仿宋"/>
          <w:color w:val="auto"/>
          <w:sz w:val="32"/>
          <w:szCs w:val="32"/>
          <w:highlight w:val="none"/>
          <w:lang w:val="en-US" w:eastAsia="zh-CN"/>
        </w:rPr>
        <w:t>99.77</w:t>
      </w:r>
      <w:r>
        <w:rPr>
          <w:rFonts w:hint="eastAsia" w:ascii="仿宋" w:hAnsi="仿宋" w:eastAsia="仿宋" w:cs="仿宋"/>
          <w:color w:val="auto"/>
          <w:sz w:val="32"/>
          <w:szCs w:val="32"/>
          <w:highlight w:val="none"/>
        </w:rPr>
        <w:t>%。</w:t>
      </w:r>
    </w:p>
    <w:p>
      <w:pPr>
        <w:spacing w:line="560" w:lineRule="exact"/>
        <w:ind w:firstLine="640" w:firstLineChars="200"/>
        <w:outlineLvl w:val="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经计算核实，本项目成本节约率达预定标准，指标完成率100%。</w:t>
      </w:r>
    </w:p>
    <w:p>
      <w:pPr>
        <w:spacing w:line="560" w:lineRule="exact"/>
        <w:ind w:firstLine="643" w:firstLineChars="200"/>
        <w:outlineLvl w:val="0"/>
        <w:rPr>
          <w:rFonts w:ascii="仿宋" w:hAnsi="仿宋" w:eastAsia="仿宋" w:cs="仿宋"/>
          <w:b/>
          <w:bCs/>
          <w:color w:val="auto"/>
          <w:sz w:val="32"/>
          <w:szCs w:val="32"/>
          <w:lang w:val="zh-TW"/>
        </w:rPr>
      </w:pPr>
      <w:r>
        <w:rPr>
          <w:rFonts w:hint="eastAsia" w:ascii="仿宋" w:hAnsi="仿宋" w:eastAsia="仿宋" w:cs="仿宋"/>
          <w:b/>
          <w:bCs/>
          <w:color w:val="auto"/>
          <w:sz w:val="32"/>
          <w:szCs w:val="32"/>
          <w:lang w:val="zh-TW"/>
        </w:rPr>
        <w:t>（</w:t>
      </w:r>
      <w:r>
        <w:rPr>
          <w:rFonts w:hint="eastAsia" w:ascii="仿宋" w:hAnsi="仿宋" w:eastAsia="仿宋" w:cs="仿宋"/>
          <w:b/>
          <w:bCs/>
          <w:color w:val="auto"/>
          <w:sz w:val="32"/>
          <w:szCs w:val="32"/>
        </w:rPr>
        <w:t>五）</w:t>
      </w:r>
      <w:r>
        <w:rPr>
          <w:rFonts w:hint="eastAsia" w:ascii="仿宋" w:hAnsi="仿宋" w:eastAsia="仿宋" w:cs="仿宋"/>
          <w:b/>
          <w:bCs/>
          <w:color w:val="auto"/>
          <w:sz w:val="32"/>
          <w:szCs w:val="32"/>
          <w:lang w:val="zh-TW"/>
        </w:rPr>
        <w:t>项目效益情况</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项目效益包括实施效益和满意度2个三级指标。该项满分为30 分，得分30分，得分率100%。　</w:t>
      </w:r>
      <w:r>
        <w:rPr>
          <w:rFonts w:hint="eastAsia" w:ascii="仿宋_GB2312" w:hAnsi="仿宋_GB2312" w:cs="仿宋_GB2312"/>
          <w:color w:val="auto"/>
          <w:sz w:val="32"/>
          <w:szCs w:val="32"/>
        </w:rPr>
        <w:tab/>
      </w:r>
    </w:p>
    <w:p>
      <w:pPr>
        <w:numPr>
          <w:ilvl w:val="0"/>
          <w:numId w:val="2"/>
        </w:num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实施效益（得分</w:t>
      </w:r>
      <w:r>
        <w:rPr>
          <w:rFonts w:hint="eastAsia" w:ascii="仿宋_GB2312" w:hAnsi="仿宋_GB2312" w:cs="仿宋_GB2312"/>
          <w:color w:val="auto"/>
          <w:sz w:val="32"/>
          <w:szCs w:val="32"/>
          <w:lang w:val="en-US" w:eastAsia="zh-CN"/>
        </w:rPr>
        <w:t>0</w:t>
      </w:r>
      <w:r>
        <w:rPr>
          <w:rFonts w:hint="eastAsia" w:ascii="仿宋_GB2312" w:hAnsi="仿宋_GB2312" w:cs="仿宋_GB2312"/>
          <w:color w:val="auto"/>
          <w:sz w:val="32"/>
          <w:szCs w:val="32"/>
        </w:rPr>
        <w:t>分）</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经济效益指标：无此项指标。</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社会效益指标：</w:t>
      </w:r>
      <w:r>
        <w:rPr>
          <w:rFonts w:hint="eastAsia" w:ascii="仿宋_GB2312" w:hAnsi="仿宋_GB2312" w:cs="仿宋_GB2312"/>
          <w:color w:val="auto"/>
          <w:sz w:val="32"/>
          <w:szCs w:val="32"/>
          <w:lang w:val="en-US" w:eastAsia="zh-CN"/>
        </w:rPr>
        <w:t>无此项指标</w:t>
      </w:r>
      <w:r>
        <w:rPr>
          <w:rFonts w:hint="eastAsia" w:ascii="仿宋_GB2312" w:hAnsi="仿宋_GB2312" w:cs="仿宋_GB2312"/>
          <w:color w:val="auto"/>
          <w:sz w:val="32"/>
          <w:szCs w:val="32"/>
        </w:rPr>
        <w:t>。</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生态效益指标：无此项指标。</w:t>
      </w:r>
    </w:p>
    <w:p>
      <w:pPr>
        <w:pStyle w:val="2"/>
        <w:spacing w:line="600" w:lineRule="exact"/>
        <w:ind w:left="0" w:leftChars="0"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可持续影响指标：无此项指标。</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2、满意度（得分</w:t>
      </w:r>
      <w:r>
        <w:rPr>
          <w:rFonts w:hint="eastAsia" w:ascii="仿宋_GB2312" w:hAnsi="仿宋_GB2312" w:cs="仿宋_GB2312"/>
          <w:color w:val="auto"/>
          <w:sz w:val="32"/>
          <w:szCs w:val="32"/>
          <w:lang w:val="en-US" w:eastAsia="zh-CN"/>
        </w:rPr>
        <w:t>30</w:t>
      </w:r>
      <w:r>
        <w:rPr>
          <w:rFonts w:hint="eastAsia" w:ascii="仿宋_GB2312" w:hAnsi="仿宋_GB2312" w:cs="仿宋_GB2312"/>
          <w:color w:val="auto"/>
          <w:sz w:val="32"/>
          <w:szCs w:val="32"/>
        </w:rPr>
        <w:t>分）</w:t>
      </w:r>
    </w:p>
    <w:p>
      <w:pPr>
        <w:spacing w:line="360" w:lineRule="auto"/>
        <w:ind w:firstLine="640" w:firstLineChars="200"/>
        <w:rPr>
          <w:rFonts w:ascii="仿宋_GB2312"/>
          <w:color w:val="auto"/>
        </w:rPr>
      </w:pPr>
      <w:r>
        <w:rPr>
          <w:rFonts w:hint="eastAsia" w:ascii="仿宋_GB2312" w:hAnsi="仿宋_GB2312" w:cs="仿宋_GB2312"/>
          <w:color w:val="auto"/>
          <w:sz w:val="32"/>
          <w:szCs w:val="32"/>
        </w:rPr>
        <w:t>满意度指标：指标1：受益运动员满意度，指标值：≥90%，实际完成值90%，指标完成率100%。</w:t>
      </w:r>
    </w:p>
    <w:p>
      <w:pPr>
        <w:spacing w:line="600" w:lineRule="exact"/>
        <w:ind w:firstLine="600" w:firstLineChars="200"/>
        <w:rPr>
          <w:rFonts w:ascii="黑体" w:hAnsi="黑体" w:eastAsia="黑体"/>
          <w:color w:val="auto"/>
        </w:rPr>
      </w:pPr>
      <w:r>
        <w:rPr>
          <w:rFonts w:hint="eastAsia" w:ascii="黑体" w:hAnsi="黑体" w:eastAsia="黑体"/>
          <w:color w:val="auto"/>
        </w:rPr>
        <w:t>五、主要经验及做法、存在的问题及原因分析</w:t>
      </w:r>
    </w:p>
    <w:p>
      <w:pPr>
        <w:spacing w:line="600" w:lineRule="exact"/>
        <w:ind w:firstLine="640" w:firstLineChars="200"/>
        <w:jc w:val="left"/>
        <w:outlineLvl w:val="0"/>
        <w:rPr>
          <w:rFonts w:hint="eastAsia" w:ascii="楷体" w:hAnsi="楷体" w:eastAsia="楷体" w:cs="楷体"/>
          <w:color w:val="auto"/>
          <w:sz w:val="32"/>
          <w:szCs w:val="32"/>
          <w:lang w:val="en-US" w:eastAsia="zh-CN"/>
        </w:rPr>
      </w:pPr>
      <w:r>
        <w:rPr>
          <w:rFonts w:hint="eastAsia" w:ascii="楷体" w:hAnsi="楷体" w:eastAsia="楷体" w:cs="楷体"/>
          <w:color w:val="auto"/>
          <w:sz w:val="32"/>
          <w:szCs w:val="32"/>
        </w:rPr>
        <w:t>1、主要经验及做法</w:t>
      </w:r>
    </w:p>
    <w:p>
      <w:pPr>
        <w:spacing w:line="360" w:lineRule="auto"/>
        <w:ind w:firstLine="640" w:firstLineChars="200"/>
        <w:rPr>
          <w:rFonts w:ascii="仿宋_GB2312"/>
          <w:color w:val="auto"/>
          <w:sz w:val="32"/>
          <w:szCs w:val="32"/>
        </w:rPr>
      </w:pPr>
      <w:r>
        <w:rPr>
          <w:rFonts w:hint="eastAsia" w:ascii="仿宋_GB2312"/>
          <w:color w:val="auto"/>
          <w:sz w:val="32"/>
          <w:szCs w:val="32"/>
        </w:rPr>
        <w:t>一是领导重视到位：高度重视，主要领导亲自抓，并予以充分的人力、财力保障。责任落实到位：将各项目工作列入年度干部绩效考核实施方案，将各项目工作落实到具体科室、具体岗位、具体个人。</w:t>
      </w:r>
    </w:p>
    <w:p>
      <w:pPr>
        <w:spacing w:line="360" w:lineRule="auto"/>
        <w:ind w:firstLine="640" w:firstLineChars="200"/>
        <w:rPr>
          <w:rFonts w:ascii="仿宋_GB2312"/>
          <w:color w:val="auto"/>
          <w:sz w:val="32"/>
          <w:szCs w:val="32"/>
        </w:rPr>
      </w:pPr>
      <w:r>
        <w:rPr>
          <w:rFonts w:hint="eastAsia" w:ascii="仿宋_GB2312"/>
          <w:color w:val="auto"/>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spacing w:line="360" w:lineRule="auto"/>
        <w:ind w:firstLine="640" w:firstLineChars="200"/>
        <w:rPr>
          <w:rFonts w:ascii="仿宋_GB2312"/>
          <w:color w:val="auto"/>
          <w:sz w:val="32"/>
          <w:szCs w:val="32"/>
        </w:rPr>
      </w:pPr>
      <w:r>
        <w:rPr>
          <w:rFonts w:hint="eastAsia" w:ascii="仿宋_GB2312"/>
          <w:color w:val="auto"/>
          <w:sz w:val="32"/>
          <w:szCs w:val="32"/>
        </w:rPr>
        <w:t>三是健全项目管理制度。我单位已有保证项目实施的制度、措施等，如新财教﹝2021﹞116号关于调整运动员、教练员伙食补助标准的通知； 根据新人社发[2009]6号关于印发《自治区体育运动员贯彻&lt;事业单位工作人员收入分配制度改革方案&gt;的实施意见》的通知要求。</w:t>
      </w:r>
    </w:p>
    <w:p>
      <w:pPr>
        <w:spacing w:line="600" w:lineRule="exact"/>
        <w:ind w:firstLine="640" w:firstLineChars="200"/>
        <w:jc w:val="left"/>
        <w:outlineLvl w:val="0"/>
        <w:rPr>
          <w:rFonts w:ascii="楷体" w:hAnsi="楷体" w:eastAsia="楷体" w:cs="楷体"/>
          <w:color w:val="auto"/>
          <w:sz w:val="32"/>
          <w:szCs w:val="32"/>
        </w:rPr>
      </w:pPr>
      <w:r>
        <w:rPr>
          <w:rFonts w:hint="eastAsia" w:ascii="楷体" w:hAnsi="楷体" w:eastAsia="楷体" w:cs="楷体"/>
          <w:color w:val="auto"/>
          <w:sz w:val="32"/>
          <w:szCs w:val="32"/>
        </w:rPr>
        <w:t>2、存在的问题</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基层财务工作基础还需进一步夯实，财务工作人员少，工作压力大，财务工作水平仍需要进一步提高。面对这些问题我们将认真分析，切实加以解决，进一步完善财务制度，规范财经纪律，进一步提高项目支出水平。</w:t>
      </w:r>
    </w:p>
    <w:p>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六、有关建议</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对资金管理的建议：严格按照相应的业务管理制度，规范各项经费开支，资金使用规范，符合国家财经法规和财务管理以及有关资金管理办法的规定；资金拨付有完整的审批程序和手续。对项目管理的建议：项目实施过程接受社会</w:t>
      </w:r>
      <w:bookmarkStart w:id="0" w:name="_GoBack"/>
      <w:bookmarkEnd w:id="0"/>
      <w:r>
        <w:rPr>
          <w:rFonts w:hint="eastAsia" w:ascii="仿宋_GB2312" w:hAnsi="仿宋_GB2312" w:cs="仿宋_GB2312"/>
          <w:color w:val="auto"/>
          <w:sz w:val="32"/>
          <w:szCs w:val="32"/>
        </w:rPr>
        <w:t>监督，项目严格执行信息公开和公告公示制度。</w:t>
      </w:r>
    </w:p>
    <w:p>
      <w:pPr>
        <w:spacing w:line="600" w:lineRule="exact"/>
        <w:ind w:firstLine="640" w:firstLineChars="200"/>
        <w:jc w:val="left"/>
        <w:rPr>
          <w:rFonts w:ascii="黑体" w:hAnsi="黑体" w:eastAsia="黑体" w:cs="黑体"/>
          <w:color w:val="auto"/>
          <w:sz w:val="32"/>
          <w:szCs w:val="32"/>
        </w:rPr>
      </w:pPr>
      <w:r>
        <w:rPr>
          <w:rFonts w:hint="eastAsia" w:ascii="黑体" w:hAnsi="黑体" w:eastAsia="黑体" w:cs="黑体"/>
          <w:color w:val="auto"/>
          <w:sz w:val="32"/>
          <w:szCs w:val="32"/>
        </w:rPr>
        <w:t>七、其他需要说明的问题</w:t>
      </w:r>
    </w:p>
    <w:p>
      <w:pPr>
        <w:spacing w:line="600" w:lineRule="exact"/>
        <w:ind w:firstLine="640" w:firstLineChars="200"/>
        <w:jc w:val="left"/>
        <w:rPr>
          <w:rFonts w:ascii="仿宋_GB2312" w:hAnsi="仿宋_GB2312" w:cs="仿宋_GB2312"/>
          <w:color w:val="auto"/>
          <w:sz w:val="32"/>
          <w:szCs w:val="32"/>
        </w:rPr>
      </w:pPr>
      <w:r>
        <w:rPr>
          <w:rFonts w:hint="eastAsia" w:ascii="仿宋_GB2312" w:hAnsi="仿宋_GB2312" w:cs="仿宋_GB2312"/>
          <w:color w:val="auto"/>
          <w:sz w:val="32"/>
          <w:szCs w:val="32"/>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pPr>
        <w:spacing w:line="600" w:lineRule="exact"/>
        <w:rPr>
          <w:color w:val="auto"/>
        </w:rPr>
      </w:pPr>
    </w:p>
    <w:sectPr>
      <w:pgSz w:w="11906" w:h="16838"/>
      <w:pgMar w:top="1984" w:right="1531" w:bottom="1701" w:left="153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BE5429"/>
    <w:multiLevelType w:val="multilevel"/>
    <w:tmpl w:val="18BE5429"/>
    <w:lvl w:ilvl="0" w:tentative="0">
      <w:start w:val="1"/>
      <w:numFmt w:val="decimalEnclosedCircle"/>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7B44B5E"/>
    <w:multiLevelType w:val="singleLevel"/>
    <w:tmpl w:val="27B44B5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Q2MWJjYzE4ODNiNThkZWIwZDQzYTExYzlhYzg5MTQifQ=="/>
  </w:docVars>
  <w:rsids>
    <w:rsidRoot w:val="56DF6C36"/>
    <w:rsid w:val="00005343"/>
    <w:rsid w:val="00082189"/>
    <w:rsid w:val="000C442D"/>
    <w:rsid w:val="000E1170"/>
    <w:rsid w:val="001674B6"/>
    <w:rsid w:val="002940D5"/>
    <w:rsid w:val="002C53D4"/>
    <w:rsid w:val="003752D5"/>
    <w:rsid w:val="004C1682"/>
    <w:rsid w:val="005E5C68"/>
    <w:rsid w:val="007202D6"/>
    <w:rsid w:val="00736256"/>
    <w:rsid w:val="007C188A"/>
    <w:rsid w:val="008828F4"/>
    <w:rsid w:val="008A1B73"/>
    <w:rsid w:val="009132D5"/>
    <w:rsid w:val="009541FB"/>
    <w:rsid w:val="00A333CE"/>
    <w:rsid w:val="00A54BD5"/>
    <w:rsid w:val="00B26C42"/>
    <w:rsid w:val="00BB6752"/>
    <w:rsid w:val="00BC675E"/>
    <w:rsid w:val="00C63A6B"/>
    <w:rsid w:val="00CC6DB1"/>
    <w:rsid w:val="00DA1D6A"/>
    <w:rsid w:val="00E368E4"/>
    <w:rsid w:val="00E85711"/>
    <w:rsid w:val="00EE32E5"/>
    <w:rsid w:val="014013F5"/>
    <w:rsid w:val="03754BC2"/>
    <w:rsid w:val="057E6C6F"/>
    <w:rsid w:val="06607148"/>
    <w:rsid w:val="07FB7C1D"/>
    <w:rsid w:val="09184B45"/>
    <w:rsid w:val="092F66D5"/>
    <w:rsid w:val="0B274DE2"/>
    <w:rsid w:val="0C5C25B4"/>
    <w:rsid w:val="112948B0"/>
    <w:rsid w:val="14DA22E0"/>
    <w:rsid w:val="14F91C34"/>
    <w:rsid w:val="151C1218"/>
    <w:rsid w:val="165878EE"/>
    <w:rsid w:val="166626FB"/>
    <w:rsid w:val="16E66E3E"/>
    <w:rsid w:val="17F36C58"/>
    <w:rsid w:val="199444A5"/>
    <w:rsid w:val="19A364CF"/>
    <w:rsid w:val="1B2572C5"/>
    <w:rsid w:val="1C9F7D88"/>
    <w:rsid w:val="1CA96B14"/>
    <w:rsid w:val="1FA401EE"/>
    <w:rsid w:val="225E628C"/>
    <w:rsid w:val="26CE5E56"/>
    <w:rsid w:val="2BAC74BD"/>
    <w:rsid w:val="2CC36333"/>
    <w:rsid w:val="2EA741AB"/>
    <w:rsid w:val="2ED85AF5"/>
    <w:rsid w:val="30935CE7"/>
    <w:rsid w:val="31EE5C53"/>
    <w:rsid w:val="32B1065A"/>
    <w:rsid w:val="34954637"/>
    <w:rsid w:val="359E135D"/>
    <w:rsid w:val="35EB5123"/>
    <w:rsid w:val="394012FE"/>
    <w:rsid w:val="39D75D1C"/>
    <w:rsid w:val="3A561B96"/>
    <w:rsid w:val="3A5E212D"/>
    <w:rsid w:val="3B284895"/>
    <w:rsid w:val="3C1F3318"/>
    <w:rsid w:val="3E396FCC"/>
    <w:rsid w:val="3E6E7AA7"/>
    <w:rsid w:val="408C3E38"/>
    <w:rsid w:val="40BB7697"/>
    <w:rsid w:val="42EA77EB"/>
    <w:rsid w:val="435F1167"/>
    <w:rsid w:val="44A71358"/>
    <w:rsid w:val="48F12B17"/>
    <w:rsid w:val="4A2A380C"/>
    <w:rsid w:val="4A4154D9"/>
    <w:rsid w:val="4D3D691B"/>
    <w:rsid w:val="50E926B1"/>
    <w:rsid w:val="51373C80"/>
    <w:rsid w:val="52245083"/>
    <w:rsid w:val="551F668B"/>
    <w:rsid w:val="55331304"/>
    <w:rsid w:val="557C1FAA"/>
    <w:rsid w:val="568E0D43"/>
    <w:rsid w:val="56DF6C36"/>
    <w:rsid w:val="57646649"/>
    <w:rsid w:val="58E75F2E"/>
    <w:rsid w:val="5AA4447D"/>
    <w:rsid w:val="5B14572D"/>
    <w:rsid w:val="5B691B85"/>
    <w:rsid w:val="5C3D2F98"/>
    <w:rsid w:val="5CE1436B"/>
    <w:rsid w:val="5DC46778"/>
    <w:rsid w:val="5ED40888"/>
    <w:rsid w:val="5F5407BB"/>
    <w:rsid w:val="606C064E"/>
    <w:rsid w:val="607A6F18"/>
    <w:rsid w:val="6182736A"/>
    <w:rsid w:val="628F4B42"/>
    <w:rsid w:val="66CD2666"/>
    <w:rsid w:val="67687A02"/>
    <w:rsid w:val="697463E4"/>
    <w:rsid w:val="6BBD3F31"/>
    <w:rsid w:val="6BF52B18"/>
    <w:rsid w:val="6C3F3B3F"/>
    <w:rsid w:val="6D242B41"/>
    <w:rsid w:val="6D515497"/>
    <w:rsid w:val="6D7F5857"/>
    <w:rsid w:val="6F736745"/>
    <w:rsid w:val="710D5340"/>
    <w:rsid w:val="718F50E7"/>
    <w:rsid w:val="72C1740E"/>
    <w:rsid w:val="732C709D"/>
    <w:rsid w:val="73AC0D3A"/>
    <w:rsid w:val="73CA1F9A"/>
    <w:rsid w:val="777D63B9"/>
    <w:rsid w:val="783A38D3"/>
    <w:rsid w:val="78BE4B53"/>
    <w:rsid w:val="79D11C7B"/>
    <w:rsid w:val="7B5567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line="600" w:lineRule="exact"/>
      <w:ind w:firstLine="627" w:firstLineChars="200"/>
      <w:outlineLvl w:val="0"/>
    </w:pPr>
    <w:rPr>
      <w:rFonts w:ascii="Calibri" w:hAnsi="Calibri" w:eastAsia="楷体"/>
      <w:b/>
      <w:kern w:val="44"/>
    </w:rPr>
  </w:style>
  <w:style w:type="paragraph" w:styleId="4">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autoRedefine/>
    <w:qFormat/>
    <w:uiPriority w:val="0"/>
    <w:pPr>
      <w:spacing w:line="480" w:lineRule="auto"/>
      <w:ind w:left="420" w:leftChars="200"/>
    </w:pPr>
  </w:style>
  <w:style w:type="paragraph" w:styleId="5">
    <w:name w:val="annotation text"/>
    <w:basedOn w:val="1"/>
    <w:autoRedefine/>
    <w:unhideWhenUsed/>
    <w:qFormat/>
    <w:uiPriority w:val="99"/>
    <w:pPr>
      <w:jc w:val="left"/>
    </w:p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0"/>
    <w:rPr>
      <w:b/>
      <w:bCs/>
    </w:rPr>
  </w:style>
  <w:style w:type="character" w:customStyle="1" w:styleId="11">
    <w:name w:val="页眉 Char"/>
    <w:basedOn w:val="9"/>
    <w:link w:val="7"/>
    <w:qFormat/>
    <w:uiPriority w:val="0"/>
    <w:rPr>
      <w:rFonts w:ascii="Times New Roman" w:hAnsi="Times New Roman" w:eastAsia="仿宋_GB2312" w:cs="Times New Roman"/>
      <w:kern w:val="2"/>
      <w:sz w:val="18"/>
      <w:szCs w:val="18"/>
    </w:rPr>
  </w:style>
  <w:style w:type="character" w:customStyle="1" w:styleId="12">
    <w:name w:val="页脚 Char"/>
    <w:basedOn w:val="9"/>
    <w:link w:val="6"/>
    <w:qFormat/>
    <w:uiPriority w:val="0"/>
    <w:rPr>
      <w:rFonts w:ascii="Times New Roman" w:hAnsi="Times New Roman" w:eastAsia="仿宋_GB2312"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MS</Company>
  <Pages>17</Pages>
  <Words>6348</Words>
  <Characters>6633</Characters>
  <Lines>48</Lines>
  <Paragraphs>13</Paragraphs>
  <TotalTime>8</TotalTime>
  <ScaleCrop>false</ScaleCrop>
  <LinksUpToDate>false</LinksUpToDate>
  <CharactersWithSpaces>6642</CharactersWithSpaces>
  <Application>WPS Office_12.8.2.16984_F1E327BC-269C-435d-A152-05C5408002CA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CWS-CZ1</cp:lastModifiedBy>
  <cp:lastPrinted>2025-03-25T10:43:00Z</cp:lastPrinted>
  <dcterms:modified xsi:type="dcterms:W3CDTF">2025-04-18T04:53:10Z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2052-12.8.2.16984</vt:lpwstr>
  </property>
  <property fmtid="{D5CDD505-2E9C-101B-9397-08002B2CF9AE}" pid="3" name="ICV">
    <vt:lpwstr>8EB2CD12B5B248FD88EDC74297E1294B_13</vt:lpwstr>
  </property>
  <property fmtid="{D5CDD505-2E9C-101B-9397-08002B2CF9AE}" pid="4" name="KSOTemplateDocerSaveRecord">
    <vt:lpwstr>eyJoZGlkIjoiOTZiZjQzZDBjNWI0NTNmYWM1ZWY4ODI4ZTY4NGQwY2MifQ==</vt:lpwstr>
  </property>
</Properties>
</file>